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16" w:rsidRPr="001D5616" w:rsidRDefault="001D5616" w:rsidP="001D5616">
      <w:pPr>
        <w:widowControl/>
        <w:shd w:val="clear" w:color="auto" w:fill="F4F0EE"/>
        <w:spacing w:line="420" w:lineRule="atLeast"/>
        <w:jc w:val="left"/>
        <w:outlineLvl w:val="0"/>
        <w:rPr>
          <w:rFonts w:ascii="黑体" w:eastAsia="黑体" w:hAnsi="黑体" w:cs="Arial"/>
          <w:color w:val="006699"/>
          <w:kern w:val="36"/>
          <w:sz w:val="27"/>
          <w:szCs w:val="27"/>
        </w:rPr>
      </w:pPr>
      <w:bookmarkStart w:id="0" w:name="_GoBack"/>
      <w:r w:rsidRPr="001D5616">
        <w:rPr>
          <w:rFonts w:ascii="黑体" w:eastAsia="黑体" w:hAnsi="黑体" w:cs="Arial" w:hint="eastAsia"/>
          <w:color w:val="006699"/>
          <w:kern w:val="36"/>
          <w:sz w:val="27"/>
          <w:szCs w:val="27"/>
        </w:rPr>
        <w:t>教育部关于印发《教育部重点实验室建设与运行管理办法》和《教育部重点实验室评估规则（2015年修订）》的通知</w:t>
      </w:r>
    </w:p>
    <w:bookmarkEnd w:id="0"/>
    <w:p w:rsidR="001D5616" w:rsidRPr="001D5616" w:rsidRDefault="001D5616" w:rsidP="001D5616">
      <w:pPr>
        <w:widowControl/>
        <w:shd w:val="clear" w:color="auto" w:fill="F4F0EE"/>
        <w:spacing w:line="420" w:lineRule="atLeast"/>
        <w:jc w:val="right"/>
        <w:rPr>
          <w:rFonts w:ascii="Arial" w:eastAsia="宋体" w:hAnsi="Arial" w:cs="Arial" w:hint="eastAsia"/>
          <w:color w:val="000000"/>
          <w:kern w:val="0"/>
          <w:szCs w:val="21"/>
        </w:rPr>
      </w:pPr>
      <w:r w:rsidRPr="001D5616">
        <w:rPr>
          <w:rFonts w:ascii="Arial" w:eastAsia="宋体" w:hAnsi="Arial" w:cs="Arial"/>
          <w:color w:val="000000"/>
          <w:kern w:val="0"/>
          <w:szCs w:val="21"/>
        </w:rPr>
        <w:t>教技</w:t>
      </w:r>
      <w:r w:rsidRPr="001D5616">
        <w:rPr>
          <w:rFonts w:ascii="Arial" w:eastAsia="宋体" w:hAnsi="Arial" w:cs="Arial"/>
          <w:color w:val="000000"/>
          <w:kern w:val="0"/>
          <w:szCs w:val="21"/>
        </w:rPr>
        <w:t>[2015]3</w:t>
      </w:r>
      <w:r w:rsidRPr="001D5616">
        <w:rPr>
          <w:rFonts w:ascii="Arial" w:eastAsia="宋体" w:hAnsi="Arial" w:cs="Arial"/>
          <w:color w:val="000000"/>
          <w:kern w:val="0"/>
          <w:szCs w:val="21"/>
        </w:rPr>
        <w:t>号</w:t>
      </w:r>
    </w:p>
    <w:p w:rsidR="001D5616" w:rsidRPr="001D5616" w:rsidRDefault="001D5616" w:rsidP="001D5616">
      <w:pPr>
        <w:widowControl/>
        <w:shd w:val="clear" w:color="auto" w:fill="F4F0EE"/>
        <w:spacing w:line="420" w:lineRule="atLeast"/>
        <w:jc w:val="right"/>
        <w:rPr>
          <w:rFonts w:ascii="Arial" w:eastAsia="宋体" w:hAnsi="Arial" w:cs="Arial"/>
          <w:color w:val="000000"/>
          <w:kern w:val="0"/>
          <w:szCs w:val="21"/>
        </w:rPr>
      </w:pPr>
      <w:r w:rsidRPr="001D5616">
        <w:rPr>
          <w:rFonts w:ascii="Arial" w:eastAsia="宋体" w:hAnsi="Arial" w:cs="Arial"/>
          <w:color w:val="000000"/>
          <w:kern w:val="0"/>
          <w:szCs w:val="21"/>
        </w:rPr>
        <w:t> </w:t>
      </w:r>
    </w:p>
    <w:p w:rsidR="001D5616" w:rsidRPr="001D5616" w:rsidRDefault="001D5616" w:rsidP="001D5616">
      <w:pPr>
        <w:widowControl/>
        <w:shd w:val="clear" w:color="auto" w:fill="F4F0EE"/>
        <w:spacing w:line="420" w:lineRule="atLeast"/>
        <w:jc w:val="left"/>
        <w:rPr>
          <w:rFonts w:ascii="Arial" w:eastAsia="宋体" w:hAnsi="Arial" w:cs="Arial"/>
          <w:color w:val="000000"/>
          <w:kern w:val="0"/>
          <w:szCs w:val="21"/>
        </w:rPr>
      </w:pPr>
      <w:r w:rsidRPr="001D5616">
        <w:rPr>
          <w:rFonts w:ascii="Arial" w:eastAsia="宋体" w:hAnsi="Arial" w:cs="Arial"/>
          <w:color w:val="000000"/>
          <w:kern w:val="0"/>
          <w:szCs w:val="21"/>
        </w:rPr>
        <w:t>各省、自治区、直辖市教育厅（教委），新疆生产建设兵团教育局，有关部门（单位）教育司（局），部属各高等学校：</w:t>
      </w:r>
    </w:p>
    <w:p w:rsidR="001D5616" w:rsidRPr="001D5616" w:rsidRDefault="001D5616" w:rsidP="001D5616">
      <w:pPr>
        <w:widowControl/>
        <w:shd w:val="clear" w:color="auto" w:fill="F4F0EE"/>
        <w:spacing w:line="420" w:lineRule="atLeast"/>
        <w:jc w:val="left"/>
        <w:rPr>
          <w:rFonts w:ascii="Arial" w:eastAsia="宋体" w:hAnsi="Arial" w:cs="Arial"/>
          <w:color w:val="000000"/>
          <w:kern w:val="0"/>
          <w:szCs w:val="21"/>
        </w:rPr>
      </w:pPr>
      <w:r w:rsidRPr="001D5616">
        <w:rPr>
          <w:rFonts w:ascii="Arial" w:eastAsia="宋体" w:hAnsi="Arial" w:cs="Arial"/>
          <w:color w:val="000000"/>
          <w:kern w:val="0"/>
          <w:szCs w:val="21"/>
        </w:rPr>
        <w:t xml:space="preserve">　　为加快实施创新驱动发展战略，进一步规范和加强教育部重点实验室的建设和运行管理，现将修订后的《教育部重点实验室建设与运行管理办法》和《教育部重点实验室评估规则（</w:t>
      </w:r>
      <w:r w:rsidRPr="001D5616">
        <w:rPr>
          <w:rFonts w:ascii="Arial" w:eastAsia="宋体" w:hAnsi="Arial" w:cs="Arial"/>
          <w:color w:val="000000"/>
          <w:kern w:val="0"/>
          <w:szCs w:val="21"/>
        </w:rPr>
        <w:t>2015</w:t>
      </w:r>
      <w:r w:rsidRPr="001D5616">
        <w:rPr>
          <w:rFonts w:ascii="Arial" w:eastAsia="宋体" w:hAnsi="Arial" w:cs="Arial"/>
          <w:color w:val="000000"/>
          <w:kern w:val="0"/>
          <w:szCs w:val="21"/>
        </w:rPr>
        <w:t>年修订）》印发给你们，请认真贯彻执行。</w:t>
      </w:r>
    </w:p>
    <w:p w:rsidR="001D5616" w:rsidRPr="001D5616" w:rsidRDefault="001D5616" w:rsidP="001D5616">
      <w:pPr>
        <w:widowControl/>
        <w:shd w:val="clear" w:color="auto" w:fill="F4F0EE"/>
        <w:spacing w:after="240" w:line="420" w:lineRule="atLeast"/>
        <w:jc w:val="left"/>
        <w:rPr>
          <w:rFonts w:ascii="Arial" w:eastAsia="宋体" w:hAnsi="Arial" w:cs="Arial"/>
          <w:color w:val="000000"/>
          <w:kern w:val="0"/>
          <w:szCs w:val="21"/>
        </w:rPr>
      </w:pPr>
    </w:p>
    <w:p w:rsidR="001D5616" w:rsidRPr="001D5616" w:rsidRDefault="001D5616" w:rsidP="001D5616">
      <w:pPr>
        <w:widowControl/>
        <w:shd w:val="clear" w:color="auto" w:fill="F4F0EE"/>
        <w:spacing w:line="420" w:lineRule="atLeast"/>
        <w:jc w:val="center"/>
        <w:rPr>
          <w:rFonts w:ascii="Arial" w:eastAsia="宋体" w:hAnsi="Arial" w:cs="Arial"/>
          <w:color w:val="000000"/>
          <w:kern w:val="0"/>
          <w:szCs w:val="21"/>
        </w:rPr>
      </w:pPr>
      <w:r w:rsidRPr="001D5616">
        <w:rPr>
          <w:rFonts w:ascii="Arial" w:eastAsia="宋体" w:hAnsi="Arial" w:cs="Arial"/>
          <w:color w:val="000000"/>
          <w:kern w:val="0"/>
          <w:szCs w:val="21"/>
        </w:rPr>
        <w:t>教育部</w:t>
      </w:r>
      <w:r w:rsidRPr="001D5616">
        <w:rPr>
          <w:rFonts w:ascii="Arial" w:eastAsia="宋体" w:hAnsi="Arial" w:cs="Arial"/>
          <w:color w:val="000000"/>
          <w:kern w:val="0"/>
          <w:szCs w:val="21"/>
        </w:rPr>
        <w:br/>
        <w:t>2015</w:t>
      </w:r>
      <w:r w:rsidRPr="001D5616">
        <w:rPr>
          <w:rFonts w:ascii="Arial" w:eastAsia="宋体" w:hAnsi="Arial" w:cs="Arial"/>
          <w:color w:val="000000"/>
          <w:kern w:val="0"/>
          <w:szCs w:val="21"/>
        </w:rPr>
        <w:t>年</w:t>
      </w:r>
      <w:r w:rsidRPr="001D5616">
        <w:rPr>
          <w:rFonts w:ascii="Arial" w:eastAsia="宋体" w:hAnsi="Arial" w:cs="Arial"/>
          <w:color w:val="000000"/>
          <w:kern w:val="0"/>
          <w:szCs w:val="21"/>
        </w:rPr>
        <w:t>8</w:t>
      </w:r>
      <w:r w:rsidRPr="001D5616">
        <w:rPr>
          <w:rFonts w:ascii="Arial" w:eastAsia="宋体" w:hAnsi="Arial" w:cs="Arial"/>
          <w:color w:val="000000"/>
          <w:kern w:val="0"/>
          <w:szCs w:val="21"/>
        </w:rPr>
        <w:t>月</w:t>
      </w:r>
      <w:r w:rsidRPr="001D5616">
        <w:rPr>
          <w:rFonts w:ascii="Arial" w:eastAsia="宋体" w:hAnsi="Arial" w:cs="Arial"/>
          <w:color w:val="000000"/>
          <w:kern w:val="0"/>
          <w:szCs w:val="21"/>
        </w:rPr>
        <w:t>20</w:t>
      </w:r>
      <w:r w:rsidRPr="001D5616">
        <w:rPr>
          <w:rFonts w:ascii="Arial" w:eastAsia="宋体" w:hAnsi="Arial" w:cs="Arial"/>
          <w:color w:val="000000"/>
          <w:kern w:val="0"/>
          <w:szCs w:val="21"/>
        </w:rPr>
        <w:t>日</w:t>
      </w:r>
      <w:r w:rsidRPr="001D5616">
        <w:rPr>
          <w:rFonts w:ascii="Arial" w:eastAsia="宋体" w:hAnsi="Arial" w:cs="Arial"/>
          <w:color w:val="000000"/>
          <w:kern w:val="0"/>
          <w:szCs w:val="21"/>
        </w:rPr>
        <w:br/>
      </w:r>
      <w:r w:rsidRPr="001D5616">
        <w:rPr>
          <w:rFonts w:ascii="Arial" w:eastAsia="宋体" w:hAnsi="Arial" w:cs="Arial"/>
          <w:color w:val="000000"/>
          <w:kern w:val="0"/>
          <w:szCs w:val="21"/>
        </w:rPr>
        <w:br/>
        <w:t> </w:t>
      </w:r>
    </w:p>
    <w:p w:rsidR="001D5616" w:rsidRPr="001D5616" w:rsidRDefault="001D5616" w:rsidP="001D5616">
      <w:pPr>
        <w:widowControl/>
        <w:shd w:val="clear" w:color="auto" w:fill="F4F0EE"/>
        <w:spacing w:line="420" w:lineRule="atLeast"/>
        <w:jc w:val="left"/>
        <w:rPr>
          <w:rFonts w:ascii="Arial" w:eastAsia="宋体" w:hAnsi="Arial" w:cs="Arial"/>
          <w:color w:val="000000"/>
          <w:kern w:val="0"/>
          <w:szCs w:val="21"/>
        </w:rPr>
      </w:pPr>
    </w:p>
    <w:p w:rsidR="001D5616" w:rsidRPr="001D5616" w:rsidRDefault="001D5616" w:rsidP="001D5616">
      <w:pPr>
        <w:widowControl/>
        <w:shd w:val="clear" w:color="auto" w:fill="F4F0EE"/>
        <w:spacing w:line="420" w:lineRule="atLeast"/>
        <w:jc w:val="center"/>
        <w:rPr>
          <w:rFonts w:ascii="Arial" w:eastAsia="宋体" w:hAnsi="Arial" w:cs="Arial"/>
          <w:color w:val="000000"/>
          <w:kern w:val="0"/>
          <w:szCs w:val="21"/>
        </w:rPr>
      </w:pPr>
      <w:r w:rsidRPr="001D5616">
        <w:rPr>
          <w:rFonts w:ascii="Arial" w:eastAsia="宋体" w:hAnsi="Arial" w:cs="Arial"/>
          <w:color w:val="000000"/>
          <w:kern w:val="0"/>
          <w:sz w:val="24"/>
          <w:szCs w:val="24"/>
        </w:rPr>
        <w:t>教育部重点实验室建设与运行管理办法</w:t>
      </w:r>
    </w:p>
    <w:p w:rsidR="001D5616" w:rsidRPr="001D5616" w:rsidRDefault="001D5616" w:rsidP="001D5616">
      <w:pPr>
        <w:widowControl/>
        <w:shd w:val="clear" w:color="auto" w:fill="F4F0EE"/>
        <w:spacing w:after="240" w:line="420" w:lineRule="atLeast"/>
        <w:jc w:val="left"/>
        <w:rPr>
          <w:rFonts w:ascii="Arial" w:eastAsia="宋体" w:hAnsi="Arial" w:cs="Arial"/>
          <w:color w:val="000000"/>
          <w:kern w:val="0"/>
          <w:szCs w:val="21"/>
        </w:rPr>
      </w:pPr>
      <w:r w:rsidRPr="001D5616">
        <w:rPr>
          <w:rFonts w:ascii="Arial" w:eastAsia="宋体" w:hAnsi="Arial" w:cs="Arial"/>
          <w:color w:val="000000"/>
          <w:kern w:val="0"/>
          <w:szCs w:val="21"/>
        </w:rPr>
        <w:br/>
      </w:r>
      <w:r w:rsidRPr="001D5616">
        <w:rPr>
          <w:rFonts w:ascii="Arial" w:eastAsia="宋体" w:hAnsi="Arial" w:cs="Arial"/>
          <w:color w:val="000000"/>
          <w:kern w:val="0"/>
          <w:szCs w:val="21"/>
        </w:rPr>
        <w:t>第一章　总　则</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第一条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为加快实施国家创新驱动发展战略，深化科技体制改革，推动高等教育事业发展，规范和加强教育部重点实验室（以下简称实验室）建设与运行管理，制定本办法。</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第二条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实验室是高等学校组织高水平科学研究、培养和集聚创新人才、开展学术合作交流的重要基地，是国家科技创新体系的重要组成部分。其主要任务是面向科学前沿，聚焦国家战略需求和行业、区域发展需求，开展创新性研究，提升高等学校创新能力，推动学科建设发展，以高水平科学研究支撑高质量高等教育。</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第三条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实验室实行</w:t>
      </w:r>
      <w:r w:rsidRPr="001D5616">
        <w:rPr>
          <w:rFonts w:ascii="Arial" w:eastAsia="宋体" w:hAnsi="Arial" w:cs="Arial"/>
          <w:color w:val="000000"/>
          <w:kern w:val="0"/>
          <w:szCs w:val="21"/>
        </w:rPr>
        <w:t>“</w:t>
      </w:r>
      <w:r w:rsidRPr="001D5616">
        <w:rPr>
          <w:rFonts w:ascii="Arial" w:eastAsia="宋体" w:hAnsi="Arial" w:cs="Arial"/>
          <w:color w:val="000000"/>
          <w:kern w:val="0"/>
          <w:szCs w:val="21"/>
        </w:rPr>
        <w:t>开放、流动、联合、竞争</w:t>
      </w:r>
      <w:r w:rsidRPr="001D5616">
        <w:rPr>
          <w:rFonts w:ascii="Arial" w:eastAsia="宋体" w:hAnsi="Arial" w:cs="Arial"/>
          <w:color w:val="000000"/>
          <w:kern w:val="0"/>
          <w:szCs w:val="21"/>
        </w:rPr>
        <w:t>”</w:t>
      </w:r>
      <w:r w:rsidRPr="001D5616">
        <w:rPr>
          <w:rFonts w:ascii="Arial" w:eastAsia="宋体" w:hAnsi="Arial" w:cs="Arial"/>
          <w:color w:val="000000"/>
          <w:kern w:val="0"/>
          <w:szCs w:val="21"/>
        </w:rPr>
        <w:t>的运行机制；坚持科教融合，创新引领，定期评估，动态调整。</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第四条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实验室是由高等学校建设的具有相对独立性的科研实体，实行人、财、物相应独立的管理机制。</w:t>
      </w:r>
      <w:r w:rsidRPr="001D5616">
        <w:rPr>
          <w:rFonts w:ascii="Arial" w:eastAsia="宋体" w:hAnsi="Arial" w:cs="Arial"/>
          <w:color w:val="000000"/>
          <w:kern w:val="0"/>
          <w:szCs w:val="21"/>
        </w:rPr>
        <w:br/>
      </w:r>
      <w:r w:rsidRPr="001D5616">
        <w:rPr>
          <w:rFonts w:ascii="Arial" w:eastAsia="宋体" w:hAnsi="Arial" w:cs="Arial"/>
          <w:color w:val="000000"/>
          <w:kern w:val="0"/>
          <w:szCs w:val="21"/>
        </w:rPr>
        <w:br/>
      </w:r>
      <w:r w:rsidRPr="001D5616">
        <w:rPr>
          <w:rFonts w:ascii="Arial" w:eastAsia="宋体" w:hAnsi="Arial" w:cs="Arial"/>
          <w:color w:val="000000"/>
          <w:kern w:val="0"/>
          <w:szCs w:val="21"/>
        </w:rPr>
        <w:t>第二章　管理职责</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第五条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教育部是实验室的宏观管理部门，主要职责是：</w:t>
      </w:r>
      <w:r w:rsidRPr="001D5616">
        <w:rPr>
          <w:rFonts w:ascii="Arial" w:eastAsia="宋体" w:hAnsi="Arial" w:cs="Arial"/>
          <w:color w:val="000000"/>
          <w:kern w:val="0"/>
          <w:szCs w:val="21"/>
        </w:rPr>
        <w:br/>
      </w:r>
      <w:r w:rsidRPr="001D5616">
        <w:rPr>
          <w:rFonts w:ascii="Arial" w:eastAsia="宋体" w:hAnsi="Arial" w:cs="Arial"/>
          <w:color w:val="000000"/>
          <w:kern w:val="0"/>
          <w:szCs w:val="21"/>
        </w:rPr>
        <w:lastRenderedPageBreak/>
        <w:t xml:space="preserve">　　（一）制定实验室发展方针和政策，编制发展规划，发布建设指南。</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（二）制定实验室建设与运行管理办法，指导实验室的建设和运行。</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（三）负责实验室的立项建设、调整和撤销。</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（四）组织实验室的验收、评估和检查。</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第六条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高等学校主管部门对实验室建设与运行管理的主要职责是：</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（一）将实验室的建设发展纳入行业和地方的发展重点。</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（二）推进、落实实验室建设和运行经费，以及相应人事配套政策。</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（三）依据本办法，指导和监督实验室的运行和管理。</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（四）协助教育部做好实验室的验收、评估和检查工作。</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第七条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高等学校是实验室建设和运行管理的主体，其主要职责是：</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一）将实验室建设和基本运行经费纳入学校年度预算；在重点学科建设、人才引进和队伍建设、研究生培养指标、自主选题研究等的年度计划中对实验室给予重点支持；提供人力资源、科研场所和仪器设备等条件保障。</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（二）组织实验室的申报、论证，制定运行管理的实施细则，解决实验室建设运行中的有关问题。</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（三）聘任实验室主任和学术委员会主任，组建实验室学术委员会。</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（四）组织实验室年度考核，负责日常监督管理，配合做好定期评估。</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（五）根据学术委员会建议，提出实验室名称、发展目标、组织结构等重大事项的调整，经主管部门审核报教育部认定。</w:t>
      </w:r>
      <w:r w:rsidRPr="001D5616">
        <w:rPr>
          <w:rFonts w:ascii="Arial" w:eastAsia="宋体" w:hAnsi="Arial" w:cs="Arial"/>
          <w:color w:val="000000"/>
          <w:kern w:val="0"/>
          <w:szCs w:val="21"/>
        </w:rPr>
        <w:br/>
      </w:r>
      <w:r w:rsidRPr="001D5616">
        <w:rPr>
          <w:rFonts w:ascii="Arial" w:eastAsia="宋体" w:hAnsi="Arial" w:cs="Arial"/>
          <w:color w:val="000000"/>
          <w:kern w:val="0"/>
          <w:szCs w:val="21"/>
        </w:rPr>
        <w:br/>
      </w:r>
      <w:r w:rsidRPr="001D5616">
        <w:rPr>
          <w:rFonts w:ascii="Arial" w:eastAsia="宋体" w:hAnsi="Arial" w:cs="Arial"/>
          <w:color w:val="000000"/>
          <w:kern w:val="0"/>
          <w:szCs w:val="21"/>
        </w:rPr>
        <w:t>第三章　立项与建设</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第八条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教育部根据科学研究、学科发展和人才培养的需要，结合实验室总体规划和布局，会同高等学校主管部门，不定期发布建设指南，组织开展实验室的立项建设，主要包括立项申请、评审、论证、验收。</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第九条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实验室立项申请的基本条件为：</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（一）研究方向和目标明确，特色鲜明，在本领域有重要影响；有承担国家和地方重大科研任务的能力；具备培养高层次人才的条件，能够广泛开展国内外学术交流与合作；具有良好的学术氛围。</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（二）拥有知名学术带头人和年龄与知识结构合理、富于创新、团结协作的优秀研究团队；具有一支稳定、高水平的研究、实验技术和管理人员队伍。</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（三）具有良好实验条件和充足的研究场所、经费保障。人员与用房相对集中，原则上实验室面积不低于</w:t>
      </w:r>
      <w:r w:rsidRPr="001D5616">
        <w:rPr>
          <w:rFonts w:ascii="Arial" w:eastAsia="宋体" w:hAnsi="Arial" w:cs="Arial"/>
          <w:color w:val="000000"/>
          <w:kern w:val="0"/>
          <w:szCs w:val="21"/>
        </w:rPr>
        <w:t>3000</w:t>
      </w:r>
      <w:r w:rsidRPr="001D5616">
        <w:rPr>
          <w:rFonts w:ascii="Arial" w:eastAsia="宋体" w:hAnsi="Arial" w:cs="Arial"/>
          <w:color w:val="000000"/>
          <w:kern w:val="0"/>
          <w:szCs w:val="21"/>
        </w:rPr>
        <w:t>平方米，仪器设备总价值不低于</w:t>
      </w:r>
      <w:r w:rsidRPr="001D5616">
        <w:rPr>
          <w:rFonts w:ascii="Arial" w:eastAsia="宋体" w:hAnsi="Arial" w:cs="Arial"/>
          <w:color w:val="000000"/>
          <w:kern w:val="0"/>
          <w:szCs w:val="21"/>
        </w:rPr>
        <w:t>2000</w:t>
      </w:r>
      <w:r w:rsidRPr="001D5616">
        <w:rPr>
          <w:rFonts w:ascii="Arial" w:eastAsia="宋体" w:hAnsi="Arial" w:cs="Arial"/>
          <w:color w:val="000000"/>
          <w:kern w:val="0"/>
          <w:szCs w:val="21"/>
        </w:rPr>
        <w:t>万元。</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（四）依托学科应为高等学校的优势和特色学科，或是新兴交叉学科，并符合实验室建</w:t>
      </w:r>
      <w:r w:rsidRPr="001D5616">
        <w:rPr>
          <w:rFonts w:ascii="Arial" w:eastAsia="宋体" w:hAnsi="Arial" w:cs="Arial"/>
          <w:color w:val="000000"/>
          <w:kern w:val="0"/>
          <w:szCs w:val="21"/>
        </w:rPr>
        <w:lastRenderedPageBreak/>
        <w:t>设规划和指南。</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（五）实验室申请立项时，一般应是已良好运行</w:t>
      </w:r>
      <w:r w:rsidRPr="001D5616">
        <w:rPr>
          <w:rFonts w:ascii="Arial" w:eastAsia="宋体" w:hAnsi="Arial" w:cs="Arial"/>
          <w:color w:val="000000"/>
          <w:kern w:val="0"/>
          <w:szCs w:val="21"/>
        </w:rPr>
        <w:t>2</w:t>
      </w:r>
      <w:r w:rsidRPr="001D5616">
        <w:rPr>
          <w:rFonts w:ascii="Arial" w:eastAsia="宋体" w:hAnsi="Arial" w:cs="Arial"/>
          <w:color w:val="000000"/>
          <w:kern w:val="0"/>
          <w:szCs w:val="21"/>
        </w:rPr>
        <w:t>年以上的行业、地方、校级重点研究机构，具有较完善的管理制度。</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第十条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根据教育部发布的实验室建设指南和要求，符合立项申请基本条件的高等学校按规定格式填写《教育部重点实验室建设申请书》。高等学校应确保申请书内容的真实性，并签署配套经费及条件保障等意见，经主管部门审核后报教育部。</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第十一条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教育部组织专家对《教育部重点实验室建设申请书》进行评审，择优立项，向高等学校批复立项结果，并抄送其主管部门。</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根据立项批复，高等学校组织编制《教育部重点实验室建设计划任务书》，并组织专家组对实验室建设计划进行可行性论证。论证后的建设计划任务书和论证报告报主管部门和教育部备案。</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第十二条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实验室建设坚持</w:t>
      </w:r>
      <w:r w:rsidRPr="001D5616">
        <w:rPr>
          <w:rFonts w:ascii="Arial" w:eastAsia="宋体" w:hAnsi="Arial" w:cs="Arial"/>
          <w:color w:val="000000"/>
          <w:kern w:val="0"/>
          <w:szCs w:val="21"/>
        </w:rPr>
        <w:t>“</w:t>
      </w:r>
      <w:r w:rsidRPr="001D5616">
        <w:rPr>
          <w:rFonts w:ascii="Arial" w:eastAsia="宋体" w:hAnsi="Arial" w:cs="Arial"/>
          <w:color w:val="000000"/>
          <w:kern w:val="0"/>
          <w:szCs w:val="21"/>
        </w:rPr>
        <w:t>边建设、边运行</w:t>
      </w:r>
      <w:r w:rsidRPr="001D5616">
        <w:rPr>
          <w:rFonts w:ascii="Arial" w:eastAsia="宋体" w:hAnsi="Arial" w:cs="Arial"/>
          <w:color w:val="000000"/>
          <w:kern w:val="0"/>
          <w:szCs w:val="21"/>
        </w:rPr>
        <w:t>”</w:t>
      </w:r>
      <w:r w:rsidRPr="001D5616">
        <w:rPr>
          <w:rFonts w:ascii="Arial" w:eastAsia="宋体" w:hAnsi="Arial" w:cs="Arial"/>
          <w:color w:val="000000"/>
          <w:kern w:val="0"/>
          <w:szCs w:val="21"/>
        </w:rPr>
        <w:t>的原则。鼓励部门、地方、企业参与共建。建设应严格按照《教育部重点实验室建设计划任务书》的内容实施，建设期一般不超过</w:t>
      </w:r>
      <w:r w:rsidRPr="001D5616">
        <w:rPr>
          <w:rFonts w:ascii="Arial" w:eastAsia="宋体" w:hAnsi="Arial" w:cs="Arial"/>
          <w:color w:val="000000"/>
          <w:kern w:val="0"/>
          <w:szCs w:val="21"/>
        </w:rPr>
        <w:t>3</w:t>
      </w:r>
      <w:r w:rsidRPr="001D5616">
        <w:rPr>
          <w:rFonts w:ascii="Arial" w:eastAsia="宋体" w:hAnsi="Arial" w:cs="Arial"/>
          <w:color w:val="000000"/>
          <w:kern w:val="0"/>
          <w:szCs w:val="21"/>
        </w:rPr>
        <w:t>年。逾期未通过验收的实验室，取消立项建设资格。</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第十三条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建设任务完成后，高等学校经自查后向主管部门和教育部报送《教育部重点实验室建设验收报告》，并提出验收计划安排。</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实验室建设验收由教育部组织或委托相关部门进行。验收专家组一般由学术专家和管理专家组成。验收专家组依据建设计划任务书及验收报告，进行综合评议，形成验收意见。通过验收的实验室，经教育部认定后正式开放运行。</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第十四条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地方、行业的重点研究机构建设发展成为开放运行的教育部重点实验室后，可以同时保留其原有的地方、行业重点研究机构名称，地方政府和行业部门可继续按照原有渠道和方式给予支持。</w:t>
      </w:r>
      <w:r w:rsidRPr="001D5616">
        <w:rPr>
          <w:rFonts w:ascii="Arial" w:eastAsia="宋体" w:hAnsi="Arial" w:cs="Arial"/>
          <w:color w:val="000000"/>
          <w:kern w:val="0"/>
          <w:szCs w:val="21"/>
        </w:rPr>
        <w:br/>
      </w:r>
      <w:r w:rsidRPr="001D5616">
        <w:rPr>
          <w:rFonts w:ascii="Arial" w:eastAsia="宋体" w:hAnsi="Arial" w:cs="Arial"/>
          <w:color w:val="000000"/>
          <w:kern w:val="0"/>
          <w:szCs w:val="21"/>
        </w:rPr>
        <w:br/>
      </w:r>
      <w:r w:rsidRPr="001D5616">
        <w:rPr>
          <w:rFonts w:ascii="Arial" w:eastAsia="宋体" w:hAnsi="Arial" w:cs="Arial"/>
          <w:color w:val="000000"/>
          <w:kern w:val="0"/>
          <w:szCs w:val="21"/>
        </w:rPr>
        <w:t>第四章　运行与管理</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第十五条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高等学校应当重视实验室的建设与发展，成立由主要负责人牵头，科技、人事、学科、财务、资产等部门参加的实验室建设和运行管理委员会，负责落实条件保障、日常监督管理和年度考核工作，协调解决实验室发展中的重大问题，并保障实验室基本运行经费每年不低于</w:t>
      </w:r>
      <w:r w:rsidRPr="001D5616">
        <w:rPr>
          <w:rFonts w:ascii="Arial" w:eastAsia="宋体" w:hAnsi="Arial" w:cs="Arial"/>
          <w:color w:val="000000"/>
          <w:kern w:val="0"/>
          <w:szCs w:val="21"/>
        </w:rPr>
        <w:t>100</w:t>
      </w:r>
      <w:r w:rsidRPr="001D5616">
        <w:rPr>
          <w:rFonts w:ascii="Arial" w:eastAsia="宋体" w:hAnsi="Arial" w:cs="Arial"/>
          <w:color w:val="000000"/>
          <w:kern w:val="0"/>
          <w:szCs w:val="21"/>
        </w:rPr>
        <w:t>万元。</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第十六条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实验室实行高等学校领导下的主任负责制。实验室主任负责实验室的全面工作，并设立专职副主任和专职秘书。</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实验室主任由高等学校公开招聘和聘任，报主管部门和教育部备案。实验室主任应是本领域高水平的学术带头人，具有较强的组织管理能力，首次聘任时一般不超过</w:t>
      </w:r>
      <w:r w:rsidRPr="001D5616">
        <w:rPr>
          <w:rFonts w:ascii="Arial" w:eastAsia="宋体" w:hAnsi="Arial" w:cs="Arial"/>
          <w:color w:val="000000"/>
          <w:kern w:val="0"/>
          <w:szCs w:val="21"/>
        </w:rPr>
        <w:t>55</w:t>
      </w:r>
      <w:r w:rsidRPr="001D5616">
        <w:rPr>
          <w:rFonts w:ascii="Arial" w:eastAsia="宋体" w:hAnsi="Arial" w:cs="Arial"/>
          <w:color w:val="000000"/>
          <w:kern w:val="0"/>
          <w:szCs w:val="21"/>
        </w:rPr>
        <w:t>岁。实验室主任应是高等学校聘任的全职教学科研人员，每届任期</w:t>
      </w:r>
      <w:r w:rsidRPr="001D5616">
        <w:rPr>
          <w:rFonts w:ascii="Arial" w:eastAsia="宋体" w:hAnsi="Arial" w:cs="Arial"/>
          <w:color w:val="000000"/>
          <w:kern w:val="0"/>
          <w:szCs w:val="21"/>
        </w:rPr>
        <w:t>5</w:t>
      </w:r>
      <w:r w:rsidRPr="001D5616">
        <w:rPr>
          <w:rFonts w:ascii="Arial" w:eastAsia="宋体" w:hAnsi="Arial" w:cs="Arial"/>
          <w:color w:val="000000"/>
          <w:kern w:val="0"/>
          <w:szCs w:val="21"/>
        </w:rPr>
        <w:t>年，一般连任不超过</w:t>
      </w:r>
      <w:r w:rsidRPr="001D5616">
        <w:rPr>
          <w:rFonts w:ascii="Arial" w:eastAsia="宋体" w:hAnsi="Arial" w:cs="Arial"/>
          <w:color w:val="000000"/>
          <w:kern w:val="0"/>
          <w:szCs w:val="21"/>
        </w:rPr>
        <w:t>2</w:t>
      </w:r>
      <w:r w:rsidRPr="001D5616">
        <w:rPr>
          <w:rFonts w:ascii="Arial" w:eastAsia="宋体" w:hAnsi="Arial" w:cs="Arial"/>
          <w:color w:val="000000"/>
          <w:kern w:val="0"/>
          <w:szCs w:val="21"/>
        </w:rPr>
        <w:t>届。</w:t>
      </w:r>
      <w:r w:rsidRPr="001D5616">
        <w:rPr>
          <w:rFonts w:ascii="Arial" w:eastAsia="宋体" w:hAnsi="Arial" w:cs="Arial"/>
          <w:color w:val="000000"/>
          <w:kern w:val="0"/>
          <w:szCs w:val="21"/>
        </w:rPr>
        <w:br/>
      </w:r>
      <w:r w:rsidRPr="001D5616">
        <w:rPr>
          <w:rFonts w:ascii="Arial" w:eastAsia="宋体" w:hAnsi="Arial" w:cs="Arial"/>
          <w:color w:val="000000"/>
          <w:kern w:val="0"/>
          <w:szCs w:val="21"/>
        </w:rPr>
        <w:lastRenderedPageBreak/>
        <w:t xml:space="preserve">　　第十七条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学术委员会是实验室的学术指导机构，职责是审议实验室的发展目标、研究方向、重大学术活动、年度报告、开放课题。学术委员会会议每年至少召开</w:t>
      </w:r>
      <w:r w:rsidRPr="001D5616">
        <w:rPr>
          <w:rFonts w:ascii="Arial" w:eastAsia="宋体" w:hAnsi="Arial" w:cs="Arial"/>
          <w:color w:val="000000"/>
          <w:kern w:val="0"/>
          <w:szCs w:val="21"/>
        </w:rPr>
        <w:t>1</w:t>
      </w:r>
      <w:r w:rsidRPr="001D5616">
        <w:rPr>
          <w:rFonts w:ascii="Arial" w:eastAsia="宋体" w:hAnsi="Arial" w:cs="Arial"/>
          <w:color w:val="000000"/>
          <w:kern w:val="0"/>
          <w:szCs w:val="21"/>
        </w:rPr>
        <w:t>次，每次实到人数不少于总人数</w:t>
      </w:r>
      <w:r w:rsidRPr="001D5616">
        <w:rPr>
          <w:rFonts w:ascii="Arial" w:eastAsia="宋体" w:hAnsi="Arial" w:cs="Arial"/>
          <w:color w:val="000000"/>
          <w:kern w:val="0"/>
          <w:szCs w:val="21"/>
        </w:rPr>
        <w:t>2/3</w:t>
      </w:r>
      <w:r w:rsidRPr="001D5616">
        <w:rPr>
          <w:rFonts w:ascii="Arial" w:eastAsia="宋体" w:hAnsi="Arial" w:cs="Arial"/>
          <w:color w:val="000000"/>
          <w:kern w:val="0"/>
          <w:szCs w:val="21"/>
        </w:rPr>
        <w:t>。</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学术委员会主任一般应由非实验室所在高等学校的人员担任。实验室学术委员会主任由高等学校聘任，报主管部门和教育部备案。委员由高等学校聘任。</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学术委员会由不少于</w:t>
      </w:r>
      <w:r w:rsidRPr="001D5616">
        <w:rPr>
          <w:rFonts w:ascii="Arial" w:eastAsia="宋体" w:hAnsi="Arial" w:cs="Arial"/>
          <w:color w:val="000000"/>
          <w:kern w:val="0"/>
          <w:szCs w:val="21"/>
        </w:rPr>
        <w:t>9</w:t>
      </w:r>
      <w:r w:rsidRPr="001D5616">
        <w:rPr>
          <w:rFonts w:ascii="Arial" w:eastAsia="宋体" w:hAnsi="Arial" w:cs="Arial"/>
          <w:color w:val="000000"/>
          <w:kern w:val="0"/>
          <w:szCs w:val="21"/>
        </w:rPr>
        <w:t>位国内外优秀专家组成，其中实验室所在高等学校人员不超过</w:t>
      </w:r>
      <w:r w:rsidRPr="001D5616">
        <w:rPr>
          <w:rFonts w:ascii="Arial" w:eastAsia="宋体" w:hAnsi="Arial" w:cs="Arial"/>
          <w:color w:val="000000"/>
          <w:kern w:val="0"/>
          <w:szCs w:val="21"/>
        </w:rPr>
        <w:t>1/3</w:t>
      </w:r>
      <w:r w:rsidRPr="001D5616">
        <w:rPr>
          <w:rFonts w:ascii="Arial" w:eastAsia="宋体" w:hAnsi="Arial" w:cs="Arial"/>
          <w:color w:val="000000"/>
          <w:kern w:val="0"/>
          <w:szCs w:val="21"/>
        </w:rPr>
        <w:t>。鼓励聘请外籍专家。</w:t>
      </w:r>
      <w:r w:rsidRPr="001D5616">
        <w:rPr>
          <w:rFonts w:ascii="Arial" w:eastAsia="宋体" w:hAnsi="Arial" w:cs="Arial"/>
          <w:color w:val="000000"/>
          <w:kern w:val="0"/>
          <w:szCs w:val="21"/>
        </w:rPr>
        <w:t>1</w:t>
      </w:r>
      <w:r w:rsidRPr="001D5616">
        <w:rPr>
          <w:rFonts w:ascii="Arial" w:eastAsia="宋体" w:hAnsi="Arial" w:cs="Arial"/>
          <w:color w:val="000000"/>
          <w:kern w:val="0"/>
          <w:szCs w:val="21"/>
        </w:rPr>
        <w:t>位专家至多同时担任</w:t>
      </w:r>
      <w:r w:rsidRPr="001D5616">
        <w:rPr>
          <w:rFonts w:ascii="Arial" w:eastAsia="宋体" w:hAnsi="Arial" w:cs="Arial"/>
          <w:color w:val="000000"/>
          <w:kern w:val="0"/>
          <w:szCs w:val="21"/>
        </w:rPr>
        <w:t>3</w:t>
      </w:r>
      <w:r w:rsidRPr="001D5616">
        <w:rPr>
          <w:rFonts w:ascii="Arial" w:eastAsia="宋体" w:hAnsi="Arial" w:cs="Arial"/>
          <w:color w:val="000000"/>
          <w:kern w:val="0"/>
          <w:szCs w:val="21"/>
        </w:rPr>
        <w:t>个实验室的学术委员。委员每届任期</w:t>
      </w:r>
      <w:r w:rsidRPr="001D5616">
        <w:rPr>
          <w:rFonts w:ascii="Arial" w:eastAsia="宋体" w:hAnsi="Arial" w:cs="Arial"/>
          <w:color w:val="000000"/>
          <w:kern w:val="0"/>
          <w:szCs w:val="21"/>
        </w:rPr>
        <w:t>5</w:t>
      </w:r>
      <w:r w:rsidRPr="001D5616">
        <w:rPr>
          <w:rFonts w:ascii="Arial" w:eastAsia="宋体" w:hAnsi="Arial" w:cs="Arial"/>
          <w:color w:val="000000"/>
          <w:kern w:val="0"/>
          <w:szCs w:val="21"/>
        </w:rPr>
        <w:t>年，一般连任不超过</w:t>
      </w:r>
      <w:r w:rsidRPr="001D5616">
        <w:rPr>
          <w:rFonts w:ascii="Arial" w:eastAsia="宋体" w:hAnsi="Arial" w:cs="Arial"/>
          <w:color w:val="000000"/>
          <w:kern w:val="0"/>
          <w:szCs w:val="21"/>
        </w:rPr>
        <w:t>2</w:t>
      </w:r>
      <w:r w:rsidRPr="001D5616">
        <w:rPr>
          <w:rFonts w:ascii="Arial" w:eastAsia="宋体" w:hAnsi="Arial" w:cs="Arial"/>
          <w:color w:val="000000"/>
          <w:kern w:val="0"/>
          <w:szCs w:val="21"/>
        </w:rPr>
        <w:t>届，每次换届应更换</w:t>
      </w:r>
      <w:r w:rsidRPr="001D5616">
        <w:rPr>
          <w:rFonts w:ascii="Arial" w:eastAsia="宋体" w:hAnsi="Arial" w:cs="Arial"/>
          <w:color w:val="000000"/>
          <w:kern w:val="0"/>
          <w:szCs w:val="21"/>
        </w:rPr>
        <w:t>1/3</w:t>
      </w:r>
      <w:r w:rsidRPr="001D5616">
        <w:rPr>
          <w:rFonts w:ascii="Arial" w:eastAsia="宋体" w:hAnsi="Arial" w:cs="Arial"/>
          <w:color w:val="000000"/>
          <w:kern w:val="0"/>
          <w:szCs w:val="21"/>
        </w:rPr>
        <w:t>以上委员，原则上</w:t>
      </w:r>
      <w:r w:rsidRPr="001D5616">
        <w:rPr>
          <w:rFonts w:ascii="Arial" w:eastAsia="宋体" w:hAnsi="Arial" w:cs="Arial"/>
          <w:color w:val="000000"/>
          <w:kern w:val="0"/>
          <w:szCs w:val="21"/>
        </w:rPr>
        <w:t>2</w:t>
      </w:r>
      <w:r w:rsidRPr="001D5616">
        <w:rPr>
          <w:rFonts w:ascii="Arial" w:eastAsia="宋体" w:hAnsi="Arial" w:cs="Arial"/>
          <w:color w:val="000000"/>
          <w:kern w:val="0"/>
          <w:szCs w:val="21"/>
        </w:rPr>
        <w:t>次不出席学术委员会会议的应予以更换。</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第十八条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实验室人员由固定人员和流动人员组成。固定人员应是高等学校聘用的聘期</w:t>
      </w:r>
      <w:r w:rsidRPr="001D5616">
        <w:rPr>
          <w:rFonts w:ascii="Arial" w:eastAsia="宋体" w:hAnsi="Arial" w:cs="Arial"/>
          <w:color w:val="000000"/>
          <w:kern w:val="0"/>
          <w:szCs w:val="21"/>
        </w:rPr>
        <w:t>2</w:t>
      </w:r>
      <w:r w:rsidRPr="001D5616">
        <w:rPr>
          <w:rFonts w:ascii="Arial" w:eastAsia="宋体" w:hAnsi="Arial" w:cs="Arial"/>
          <w:color w:val="000000"/>
          <w:kern w:val="0"/>
          <w:szCs w:val="21"/>
        </w:rPr>
        <w:t>年以上的全职人员，除承担高等学校教学任务外，原则上应全职在实验室工作。固定人员包括研究人员、技术人员和管理人员，一般规模不少于</w:t>
      </w:r>
      <w:r w:rsidRPr="001D5616">
        <w:rPr>
          <w:rFonts w:ascii="Arial" w:eastAsia="宋体" w:hAnsi="Arial" w:cs="Arial"/>
          <w:color w:val="000000"/>
          <w:kern w:val="0"/>
          <w:szCs w:val="21"/>
        </w:rPr>
        <w:t>30</w:t>
      </w:r>
      <w:r w:rsidRPr="001D5616">
        <w:rPr>
          <w:rFonts w:ascii="Arial" w:eastAsia="宋体" w:hAnsi="Arial" w:cs="Arial"/>
          <w:color w:val="000000"/>
          <w:kern w:val="0"/>
          <w:szCs w:val="21"/>
        </w:rPr>
        <w:t>人。流动人员包括访问学者、博士后研究人员等。实验室要加大流动人员规模，注重吸引国内外优秀博士后研究人员等青年人才，并通过聘用合同明确工作职责和任务、聘期及在岗工作时间等。</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第十九条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实验室应围绕主要研究方向和重点任务，组织团队系统开展持续深入的科学研究，联合国内外优秀团队开展协同创新，承担国家、区域和行业的重大科技任务；充分发挥高等学校多学科优势，设立自主研究选题，加强跨学科研究；开展仪器设备的自主研发和更新改造，开展实验技术方法的创新研究。</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第二十条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实验室应注重人才培养，吸引优秀本科生进入实验室参与科研活动，支持研究生参与课题研究和学术交流，注重研究成果向教学内容及时转化，积极与国内外科研机构和行业企业联合培养创新人才，开展学生跨校交流和联合培养。</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第二十一条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实验室应充分开放运行，建立访问学者制度，设立开放课题，吸引优秀人才开展合作研究；广泛开展学术交流，与国内外高水平研究机构和团队开展稳定的实质性合作；积极参与重大国际科技合作计划，争取在国际学术组织中任职。</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第二十二条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实验室的科研设施和仪器设备、数据库和样本库等科技资源，在满足科研教学需求的同时，应建立开放共享机制，面向社会开放运行。实验室应设立公众开放日，面向社会开展科学知识传播。</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第二十三条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实验室应加强知识产权的规范管理。在实验室完成的专著、论文、软件、数据库等研究成果均应标注实验室名称；专利申请、成果转让、奖励申报等按国家有关规定执行；加强数据、标本等科技资源的采集、整理、加工、保存，建设各类资源库。</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第二十四条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实验室应建立健全各项规章制度，严格遵守国家有关保密规定。加强实验室信息化建设，建立内部管理信息系统和实验室网站，纳入学校信息化工作统筹管理，并保持安全运行。</w:t>
      </w:r>
      <w:r w:rsidRPr="001D5616">
        <w:rPr>
          <w:rFonts w:ascii="Arial" w:eastAsia="宋体" w:hAnsi="Arial" w:cs="Arial"/>
          <w:color w:val="000000"/>
          <w:kern w:val="0"/>
          <w:szCs w:val="21"/>
        </w:rPr>
        <w:br/>
      </w:r>
      <w:r w:rsidRPr="001D5616">
        <w:rPr>
          <w:rFonts w:ascii="Arial" w:eastAsia="宋体" w:hAnsi="Arial" w:cs="Arial"/>
          <w:color w:val="000000"/>
          <w:kern w:val="0"/>
          <w:szCs w:val="21"/>
        </w:rPr>
        <w:lastRenderedPageBreak/>
        <w:t xml:space="preserve">　　第二十五条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实验室要营造宽松民主、团结协作、积极进取的工作环境，形成潜心研究、勇于创新和宽容失败的学术氛围。实验室要高度重视学术道德和学风建设，加强自我监督。</w:t>
      </w:r>
      <w:r w:rsidRPr="001D5616">
        <w:rPr>
          <w:rFonts w:ascii="Arial" w:eastAsia="宋体" w:hAnsi="Arial" w:cs="Arial"/>
          <w:color w:val="000000"/>
          <w:kern w:val="0"/>
          <w:szCs w:val="21"/>
        </w:rPr>
        <w:br/>
      </w:r>
      <w:r w:rsidRPr="001D5616">
        <w:rPr>
          <w:rFonts w:ascii="Arial" w:eastAsia="宋体" w:hAnsi="Arial" w:cs="Arial"/>
          <w:color w:val="000000"/>
          <w:kern w:val="0"/>
          <w:szCs w:val="21"/>
        </w:rPr>
        <w:br/>
      </w:r>
      <w:r w:rsidRPr="001D5616">
        <w:rPr>
          <w:rFonts w:ascii="Arial" w:eastAsia="宋体" w:hAnsi="Arial" w:cs="Arial"/>
          <w:color w:val="000000"/>
          <w:kern w:val="0"/>
          <w:szCs w:val="21"/>
        </w:rPr>
        <w:t>第五章　考核评估与调整</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第二十六条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实验室必须编制年度报告，并在实验室网站公布。</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第二十七条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高等学校以年度报告为基础，每年组织对实验室进行年度考核，并将考核结果与年度报告一并报主管部门和教育部备案。</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第二十八条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根据年度考核情况，教育部可会同高等学校主管部门，抽取部分实验室进行现场检查，发现、研究和解决实验室存在的问题。</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第二十九条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教育部对实验室进行定期评估。定期评估周期为</w:t>
      </w:r>
      <w:r w:rsidRPr="001D5616">
        <w:rPr>
          <w:rFonts w:ascii="Arial" w:eastAsia="宋体" w:hAnsi="Arial" w:cs="Arial"/>
          <w:color w:val="000000"/>
          <w:kern w:val="0"/>
          <w:szCs w:val="21"/>
        </w:rPr>
        <w:t>5</w:t>
      </w:r>
      <w:r w:rsidRPr="001D5616">
        <w:rPr>
          <w:rFonts w:ascii="Arial" w:eastAsia="宋体" w:hAnsi="Arial" w:cs="Arial"/>
          <w:color w:val="000000"/>
          <w:kern w:val="0"/>
          <w:szCs w:val="21"/>
        </w:rPr>
        <w:t>年，每年评估</w:t>
      </w:r>
      <w:r w:rsidRPr="001D5616">
        <w:rPr>
          <w:rFonts w:ascii="Arial" w:eastAsia="宋体" w:hAnsi="Arial" w:cs="Arial"/>
          <w:color w:val="000000"/>
          <w:kern w:val="0"/>
          <w:szCs w:val="21"/>
        </w:rPr>
        <w:t>1-2</w:t>
      </w:r>
      <w:r w:rsidRPr="001D5616">
        <w:rPr>
          <w:rFonts w:ascii="Arial" w:eastAsia="宋体" w:hAnsi="Arial" w:cs="Arial"/>
          <w:color w:val="000000"/>
          <w:kern w:val="0"/>
          <w:szCs w:val="21"/>
        </w:rPr>
        <w:t>个领域。开放运行满</w:t>
      </w:r>
      <w:r w:rsidRPr="001D5616">
        <w:rPr>
          <w:rFonts w:ascii="Arial" w:eastAsia="宋体" w:hAnsi="Arial" w:cs="Arial"/>
          <w:color w:val="000000"/>
          <w:kern w:val="0"/>
          <w:szCs w:val="21"/>
        </w:rPr>
        <w:t>3</w:t>
      </w:r>
      <w:r w:rsidRPr="001D5616">
        <w:rPr>
          <w:rFonts w:ascii="Arial" w:eastAsia="宋体" w:hAnsi="Arial" w:cs="Arial"/>
          <w:color w:val="000000"/>
          <w:kern w:val="0"/>
          <w:szCs w:val="21"/>
        </w:rPr>
        <w:t>年的实验室应当参加定期评估。</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第三十条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教育部负责实验室定期评估的组织实施，制定评估规则，委托和指导第三方机构开展具体评估工作，确定和发布评估结果，受理并处理异议。</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第三十一条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定期评估主要对实验室</w:t>
      </w:r>
      <w:r w:rsidRPr="001D5616">
        <w:rPr>
          <w:rFonts w:ascii="Arial" w:eastAsia="宋体" w:hAnsi="Arial" w:cs="Arial"/>
          <w:color w:val="000000"/>
          <w:kern w:val="0"/>
          <w:szCs w:val="21"/>
        </w:rPr>
        <w:t>5</w:t>
      </w:r>
      <w:r w:rsidRPr="001D5616">
        <w:rPr>
          <w:rFonts w:ascii="Arial" w:eastAsia="宋体" w:hAnsi="Arial" w:cs="Arial"/>
          <w:color w:val="000000"/>
          <w:kern w:val="0"/>
          <w:szCs w:val="21"/>
        </w:rPr>
        <w:t>年的整体运行状况进行综合评估，评估程序分为初评、现场考察和综合评议三个阶段。定期评估工作按照《教育部重点实验室评估规则》进行。</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第三十二条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教育部根据定期评估结果，对实验室进行动态调整。未通过评估的实验室不再列入实验室序列；评估结果为优秀的实验室优先推荐申报国家重点实验室。</w:t>
      </w:r>
      <w:r w:rsidRPr="001D5616">
        <w:rPr>
          <w:rFonts w:ascii="Arial" w:eastAsia="宋体" w:hAnsi="Arial" w:cs="Arial"/>
          <w:color w:val="000000"/>
          <w:kern w:val="0"/>
          <w:szCs w:val="21"/>
        </w:rPr>
        <w:br/>
      </w:r>
      <w:r w:rsidRPr="001D5616">
        <w:rPr>
          <w:rFonts w:ascii="Arial" w:eastAsia="宋体" w:hAnsi="Arial" w:cs="Arial"/>
          <w:color w:val="000000"/>
          <w:kern w:val="0"/>
          <w:szCs w:val="21"/>
        </w:rPr>
        <w:br/>
      </w:r>
      <w:r w:rsidRPr="001D5616">
        <w:rPr>
          <w:rFonts w:ascii="Arial" w:eastAsia="宋体" w:hAnsi="Arial" w:cs="Arial"/>
          <w:color w:val="000000"/>
          <w:kern w:val="0"/>
          <w:szCs w:val="21"/>
        </w:rPr>
        <w:t>第六章　附　则</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第三十三条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实验室通过验收后，统一命名为</w:t>
      </w:r>
      <w:r w:rsidRPr="001D5616">
        <w:rPr>
          <w:rFonts w:ascii="Arial" w:eastAsia="宋体" w:hAnsi="Arial" w:cs="Arial"/>
          <w:color w:val="000000"/>
          <w:kern w:val="0"/>
          <w:szCs w:val="21"/>
        </w:rPr>
        <w:t>“××</w:t>
      </w:r>
      <w:r w:rsidRPr="001D5616">
        <w:rPr>
          <w:rFonts w:ascii="Arial" w:eastAsia="宋体" w:hAnsi="Arial" w:cs="Arial"/>
          <w:color w:val="000000"/>
          <w:kern w:val="0"/>
          <w:szCs w:val="21"/>
        </w:rPr>
        <w:t>教育部重点实验室（</w:t>
      </w:r>
      <w:r w:rsidRPr="001D5616">
        <w:rPr>
          <w:rFonts w:ascii="Arial" w:eastAsia="宋体" w:hAnsi="Arial" w:cs="Arial"/>
          <w:color w:val="000000"/>
          <w:kern w:val="0"/>
          <w:szCs w:val="21"/>
        </w:rPr>
        <w:t>××</w:t>
      </w:r>
      <w:r w:rsidRPr="001D5616">
        <w:rPr>
          <w:rFonts w:ascii="Arial" w:eastAsia="宋体" w:hAnsi="Arial" w:cs="Arial"/>
          <w:color w:val="000000"/>
          <w:kern w:val="0"/>
          <w:szCs w:val="21"/>
        </w:rPr>
        <w:t>大学），英文名称为</w:t>
      </w:r>
      <w:r w:rsidRPr="001D5616">
        <w:rPr>
          <w:rFonts w:ascii="Arial" w:eastAsia="宋体" w:hAnsi="Arial" w:cs="Arial"/>
          <w:color w:val="000000"/>
          <w:kern w:val="0"/>
          <w:szCs w:val="21"/>
        </w:rPr>
        <w:t>Key Laboratory of××</w:t>
      </w:r>
      <w:r w:rsidRPr="001D5616">
        <w:rPr>
          <w:rFonts w:ascii="Arial" w:eastAsia="宋体" w:hAnsi="Arial" w:cs="Arial"/>
          <w:color w:val="000000"/>
          <w:kern w:val="0"/>
          <w:szCs w:val="21"/>
        </w:rPr>
        <w:t>（</w:t>
      </w:r>
      <w:r w:rsidRPr="001D5616">
        <w:rPr>
          <w:rFonts w:ascii="Arial" w:eastAsia="宋体" w:hAnsi="Arial" w:cs="Arial"/>
          <w:color w:val="000000"/>
          <w:kern w:val="0"/>
          <w:szCs w:val="21"/>
        </w:rPr>
        <w:t>×× University</w:t>
      </w:r>
      <w:r w:rsidRPr="001D5616">
        <w:rPr>
          <w:rFonts w:ascii="Arial" w:eastAsia="宋体" w:hAnsi="Arial" w:cs="Arial"/>
          <w:color w:val="000000"/>
          <w:kern w:val="0"/>
          <w:szCs w:val="21"/>
        </w:rPr>
        <w:t>），</w:t>
      </w:r>
      <w:r w:rsidRPr="001D5616">
        <w:rPr>
          <w:rFonts w:ascii="Arial" w:eastAsia="宋体" w:hAnsi="Arial" w:cs="Arial"/>
          <w:color w:val="000000"/>
          <w:kern w:val="0"/>
          <w:szCs w:val="21"/>
        </w:rPr>
        <w:t>Ministry of Education</w:t>
      </w:r>
      <w:r w:rsidRPr="001D5616">
        <w:rPr>
          <w:rFonts w:ascii="Arial" w:eastAsia="宋体" w:hAnsi="Arial" w:cs="Arial"/>
          <w:color w:val="000000"/>
          <w:kern w:val="0"/>
          <w:szCs w:val="21"/>
        </w:rPr>
        <w:t>。如：神经科学教育部重点实验室（北京大学），</w:t>
      </w:r>
      <w:r w:rsidRPr="001D5616">
        <w:rPr>
          <w:rFonts w:ascii="Arial" w:eastAsia="宋体" w:hAnsi="Arial" w:cs="Arial"/>
          <w:color w:val="000000"/>
          <w:kern w:val="0"/>
          <w:szCs w:val="21"/>
        </w:rPr>
        <w:t>Key Laboratory of Neuroscience(Peking University), Ministry of Education</w:t>
      </w:r>
      <w:r w:rsidRPr="001D5616">
        <w:rPr>
          <w:rFonts w:ascii="Arial" w:eastAsia="宋体" w:hAnsi="Arial" w:cs="Arial"/>
          <w:color w:val="000000"/>
          <w:kern w:val="0"/>
          <w:szCs w:val="21"/>
        </w:rPr>
        <w:t>。</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第三十四条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在实验室建设与运行管理中，凡是属于国家科学技术涉密范围的相关情形和内容，应按照《国家科学技术保密规定》等相关法规执行。</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第三十五条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《教育部重点实验室评估规则》另行发布。</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第三十六条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本办法自公布之日起施行，原《高等学校重点实验室建设与管理暂行办法》（教技〔</w:t>
      </w:r>
      <w:r w:rsidRPr="001D5616">
        <w:rPr>
          <w:rFonts w:ascii="Arial" w:eastAsia="宋体" w:hAnsi="Arial" w:cs="Arial"/>
          <w:color w:val="000000"/>
          <w:kern w:val="0"/>
          <w:szCs w:val="21"/>
        </w:rPr>
        <w:t>2003</w:t>
      </w:r>
      <w:r w:rsidRPr="001D5616">
        <w:rPr>
          <w:rFonts w:ascii="Arial" w:eastAsia="宋体" w:hAnsi="Arial" w:cs="Arial"/>
          <w:color w:val="000000"/>
          <w:kern w:val="0"/>
          <w:szCs w:val="21"/>
        </w:rPr>
        <w:t>〕</w:t>
      </w:r>
      <w:r w:rsidRPr="001D5616">
        <w:rPr>
          <w:rFonts w:ascii="Arial" w:eastAsia="宋体" w:hAnsi="Arial" w:cs="Arial"/>
          <w:color w:val="000000"/>
          <w:kern w:val="0"/>
          <w:szCs w:val="21"/>
        </w:rPr>
        <w:t>2</w:t>
      </w:r>
      <w:r w:rsidRPr="001D5616">
        <w:rPr>
          <w:rFonts w:ascii="Arial" w:eastAsia="宋体" w:hAnsi="Arial" w:cs="Arial"/>
          <w:color w:val="000000"/>
          <w:kern w:val="0"/>
          <w:szCs w:val="21"/>
        </w:rPr>
        <w:t>号）同时废止。</w:t>
      </w:r>
      <w:r w:rsidRPr="001D5616">
        <w:rPr>
          <w:rFonts w:ascii="Arial" w:eastAsia="宋体" w:hAnsi="Arial" w:cs="Arial"/>
          <w:color w:val="000000"/>
          <w:kern w:val="0"/>
          <w:szCs w:val="21"/>
        </w:rPr>
        <w:br/>
      </w:r>
      <w:r w:rsidRPr="001D5616">
        <w:rPr>
          <w:rFonts w:ascii="Arial" w:eastAsia="宋体" w:hAnsi="Arial" w:cs="Arial"/>
          <w:color w:val="000000"/>
          <w:kern w:val="0"/>
          <w:szCs w:val="21"/>
        </w:rPr>
        <w:br/>
      </w:r>
    </w:p>
    <w:p w:rsidR="001D5616" w:rsidRPr="001D5616" w:rsidRDefault="001D5616" w:rsidP="001D5616">
      <w:pPr>
        <w:widowControl/>
        <w:shd w:val="clear" w:color="auto" w:fill="F4F0EE"/>
        <w:spacing w:line="420" w:lineRule="atLeast"/>
        <w:jc w:val="center"/>
        <w:rPr>
          <w:rFonts w:ascii="Arial" w:eastAsia="宋体" w:hAnsi="Arial" w:cs="Arial"/>
          <w:color w:val="000000"/>
          <w:kern w:val="0"/>
          <w:szCs w:val="21"/>
        </w:rPr>
      </w:pPr>
      <w:r w:rsidRPr="001D5616">
        <w:rPr>
          <w:rFonts w:ascii="Arial" w:eastAsia="宋体" w:hAnsi="Arial" w:cs="Arial"/>
          <w:color w:val="000000"/>
          <w:kern w:val="0"/>
          <w:sz w:val="24"/>
          <w:szCs w:val="24"/>
        </w:rPr>
        <w:t>教育部重点实验室评估规则（</w:t>
      </w:r>
      <w:r w:rsidRPr="001D5616">
        <w:rPr>
          <w:rFonts w:ascii="Arial" w:eastAsia="宋体" w:hAnsi="Arial" w:cs="Arial"/>
          <w:color w:val="000000"/>
          <w:kern w:val="0"/>
          <w:sz w:val="24"/>
          <w:szCs w:val="24"/>
        </w:rPr>
        <w:t>2015</w:t>
      </w:r>
      <w:r w:rsidRPr="001D5616">
        <w:rPr>
          <w:rFonts w:ascii="Arial" w:eastAsia="宋体" w:hAnsi="Arial" w:cs="Arial"/>
          <w:color w:val="000000"/>
          <w:kern w:val="0"/>
          <w:sz w:val="24"/>
          <w:szCs w:val="24"/>
        </w:rPr>
        <w:t>年修订）</w:t>
      </w:r>
    </w:p>
    <w:p w:rsidR="0089034A" w:rsidRDefault="001D5616" w:rsidP="001D5616">
      <w:r w:rsidRPr="001D5616">
        <w:rPr>
          <w:rFonts w:ascii="Arial" w:eastAsia="宋体" w:hAnsi="Arial" w:cs="Arial"/>
          <w:color w:val="000000"/>
          <w:kern w:val="0"/>
          <w:szCs w:val="21"/>
        </w:rPr>
        <w:br/>
      </w:r>
      <w:r w:rsidRPr="001D5616">
        <w:rPr>
          <w:rFonts w:ascii="Arial" w:eastAsia="宋体" w:hAnsi="Arial" w:cs="Arial"/>
          <w:color w:val="000000"/>
          <w:kern w:val="0"/>
          <w:szCs w:val="21"/>
        </w:rPr>
        <w:lastRenderedPageBreak/>
        <w:t>第一章　总　则</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第一条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为规范教育部重点实验室（以下简称实验室）的定期评估（以下简称评估）工作，根据《教育部重点实验室建设与运行管理办法》，特制定本规则。</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第二条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评估的目的是全面了解和检查实验室</w:t>
      </w:r>
      <w:r w:rsidRPr="001D5616">
        <w:rPr>
          <w:rFonts w:ascii="Arial" w:eastAsia="宋体" w:hAnsi="Arial" w:cs="Arial"/>
          <w:color w:val="000000"/>
          <w:kern w:val="0"/>
          <w:szCs w:val="21"/>
        </w:rPr>
        <w:t>5</w:t>
      </w:r>
      <w:r w:rsidRPr="001D5616">
        <w:rPr>
          <w:rFonts w:ascii="Arial" w:eastAsia="宋体" w:hAnsi="Arial" w:cs="Arial"/>
          <w:color w:val="000000"/>
          <w:kern w:val="0"/>
          <w:szCs w:val="21"/>
        </w:rPr>
        <w:t>年的运行状况，总结经验，发现问题，促进发展。评估重点是实验室的研究水平与贡献、研究团队建设、学科发展与人才培养、开放与运行管理。</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第三条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评估工作坚持</w:t>
      </w:r>
      <w:r w:rsidRPr="001D5616">
        <w:rPr>
          <w:rFonts w:ascii="Arial" w:eastAsia="宋体" w:hAnsi="Arial" w:cs="Arial"/>
          <w:color w:val="000000"/>
          <w:kern w:val="0"/>
          <w:szCs w:val="21"/>
        </w:rPr>
        <w:t>“</w:t>
      </w:r>
      <w:r w:rsidRPr="001D5616">
        <w:rPr>
          <w:rFonts w:ascii="Arial" w:eastAsia="宋体" w:hAnsi="Arial" w:cs="Arial"/>
          <w:color w:val="000000"/>
          <w:kern w:val="0"/>
          <w:szCs w:val="21"/>
        </w:rPr>
        <w:t>公开、公平、公正</w:t>
      </w:r>
      <w:r w:rsidRPr="001D5616">
        <w:rPr>
          <w:rFonts w:ascii="Arial" w:eastAsia="宋体" w:hAnsi="Arial" w:cs="Arial"/>
          <w:color w:val="000000"/>
          <w:kern w:val="0"/>
          <w:szCs w:val="21"/>
        </w:rPr>
        <w:t>”</w:t>
      </w:r>
      <w:r w:rsidRPr="001D5616">
        <w:rPr>
          <w:rFonts w:ascii="Arial" w:eastAsia="宋体" w:hAnsi="Arial" w:cs="Arial"/>
          <w:color w:val="000000"/>
          <w:kern w:val="0"/>
          <w:szCs w:val="21"/>
        </w:rPr>
        <w:t>，按照依靠专家，注重实效，动态调整，以评促建的原则，采取定性评估与定量评估相结合的方式（评估指标体系见附件）。</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第四条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评估是实验室管理的重要环节，在年度考核的基础上进行。评估周期为</w:t>
      </w:r>
      <w:r w:rsidRPr="001D5616">
        <w:rPr>
          <w:rFonts w:ascii="Arial" w:eastAsia="宋体" w:hAnsi="Arial" w:cs="Arial"/>
          <w:color w:val="000000"/>
          <w:kern w:val="0"/>
          <w:szCs w:val="21"/>
        </w:rPr>
        <w:t>5</w:t>
      </w:r>
      <w:r w:rsidRPr="001D5616">
        <w:rPr>
          <w:rFonts w:ascii="Arial" w:eastAsia="宋体" w:hAnsi="Arial" w:cs="Arial"/>
          <w:color w:val="000000"/>
          <w:kern w:val="0"/>
          <w:szCs w:val="21"/>
        </w:rPr>
        <w:t>年，每年评估</w:t>
      </w:r>
      <w:r w:rsidRPr="001D5616">
        <w:rPr>
          <w:rFonts w:ascii="Arial" w:eastAsia="宋体" w:hAnsi="Arial" w:cs="Arial"/>
          <w:color w:val="000000"/>
          <w:kern w:val="0"/>
          <w:szCs w:val="21"/>
        </w:rPr>
        <w:t>1-2</w:t>
      </w:r>
      <w:r w:rsidRPr="001D5616">
        <w:rPr>
          <w:rFonts w:ascii="Arial" w:eastAsia="宋体" w:hAnsi="Arial" w:cs="Arial"/>
          <w:color w:val="000000"/>
          <w:kern w:val="0"/>
          <w:szCs w:val="21"/>
        </w:rPr>
        <w:t>个领域的实验室。教育部可根据情况对实验室进行不定期抽查。</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第五条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所有通过验收并且正式开放运行期满</w:t>
      </w:r>
      <w:r w:rsidRPr="001D5616">
        <w:rPr>
          <w:rFonts w:ascii="Arial" w:eastAsia="宋体" w:hAnsi="Arial" w:cs="Arial"/>
          <w:color w:val="000000"/>
          <w:kern w:val="0"/>
          <w:szCs w:val="21"/>
        </w:rPr>
        <w:t>3</w:t>
      </w:r>
      <w:r w:rsidRPr="001D5616">
        <w:rPr>
          <w:rFonts w:ascii="Arial" w:eastAsia="宋体" w:hAnsi="Arial" w:cs="Arial"/>
          <w:color w:val="000000"/>
          <w:kern w:val="0"/>
          <w:szCs w:val="21"/>
        </w:rPr>
        <w:t>年的实验室均应参加评估，未满</w:t>
      </w:r>
      <w:r w:rsidRPr="001D5616">
        <w:rPr>
          <w:rFonts w:ascii="Arial" w:eastAsia="宋体" w:hAnsi="Arial" w:cs="Arial"/>
          <w:color w:val="000000"/>
          <w:kern w:val="0"/>
          <w:szCs w:val="21"/>
        </w:rPr>
        <w:t>3</w:t>
      </w:r>
      <w:r w:rsidRPr="001D5616">
        <w:rPr>
          <w:rFonts w:ascii="Arial" w:eastAsia="宋体" w:hAnsi="Arial" w:cs="Arial"/>
          <w:color w:val="000000"/>
          <w:kern w:val="0"/>
          <w:szCs w:val="21"/>
        </w:rPr>
        <w:t>年的实验室可自主决定是否参加评估。依托中央部门所属高等学校和依托地方高等学校建设的实验室按照统一规定和程序参加评估。</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第六条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教育部科技司负责评估的组织实施，包括：制订实验室评估规则，确定参评实验室名单，建立评估专家库，选择和委托第三方评估机构（以下简称评估机构）开展评估工作，确定和发布评估结果，受理对评估机构和评估工作的实名异议，对评估机构的履职尽责情况进行监督和评价。</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第七条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评估机构应具备组织实施评估工作的条件，能够按照本规则客观公正地开展工作，并对评估中的有关过程和情况严格保密。评估机构的主要职责是：拟定评估实施方案和经费预算，受理评估申请，组织专家评估，提交评估报告，建立评估工作档案并按期向教育部移交。</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第八条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中央部门、地方政府教育行政部门负责指导和组织本部门实验室和依托高等学校做好接受评估的准备工作。</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第九条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实验室依托高等学校负责为实验室评估提供支持和保障；审核评估申请材料的真实性和准确性，并承担材料失实的连带责任。</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第十条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教育部建立实验室评估专家库。评估专家一般由本领域学术水平高、公道正派、熟悉实验室工作的一线科学家和少数科研管理专家担任。应用基础研究比重大的领域应当聘请部分来自产业界的专家。</w:t>
      </w:r>
      <w:r w:rsidRPr="001D5616">
        <w:rPr>
          <w:rFonts w:ascii="Arial" w:eastAsia="宋体" w:hAnsi="Arial" w:cs="Arial"/>
          <w:color w:val="000000"/>
          <w:kern w:val="0"/>
          <w:szCs w:val="21"/>
        </w:rPr>
        <w:br/>
      </w:r>
      <w:r w:rsidRPr="001D5616">
        <w:rPr>
          <w:rFonts w:ascii="Arial" w:eastAsia="宋体" w:hAnsi="Arial" w:cs="Arial"/>
          <w:color w:val="000000"/>
          <w:kern w:val="0"/>
          <w:szCs w:val="21"/>
        </w:rPr>
        <w:br/>
      </w:r>
      <w:r w:rsidRPr="001D5616">
        <w:rPr>
          <w:rFonts w:ascii="Arial" w:eastAsia="宋体" w:hAnsi="Arial" w:cs="Arial"/>
          <w:color w:val="000000"/>
          <w:kern w:val="0"/>
          <w:szCs w:val="21"/>
        </w:rPr>
        <w:t>第二章　评估材料</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第十一条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评估材料是实验室评估的依据，必须反映评估期限内的真实情况，包括实验室年度考核报告和</w:t>
      </w:r>
      <w:r w:rsidRPr="001D5616">
        <w:rPr>
          <w:rFonts w:ascii="Arial" w:eastAsia="宋体" w:hAnsi="Arial" w:cs="Arial"/>
          <w:color w:val="000000"/>
          <w:kern w:val="0"/>
          <w:szCs w:val="21"/>
        </w:rPr>
        <w:t>5</w:t>
      </w:r>
      <w:r w:rsidRPr="001D5616">
        <w:rPr>
          <w:rFonts w:ascii="Arial" w:eastAsia="宋体" w:hAnsi="Arial" w:cs="Arial"/>
          <w:color w:val="000000"/>
          <w:kern w:val="0"/>
          <w:szCs w:val="21"/>
        </w:rPr>
        <w:t>年工作总结。评估材料存在弄虚作假情形的实验室，当年评估结果定为整改。评估材料中属于国家科学技术涉密范围的内容应按照《国家科学技术保密规定》执行。</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第十二条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实验室根据评估期内提交的年度报告编写</w:t>
      </w:r>
      <w:r w:rsidRPr="001D5616">
        <w:rPr>
          <w:rFonts w:ascii="Arial" w:eastAsia="宋体" w:hAnsi="Arial" w:cs="Arial"/>
          <w:color w:val="000000"/>
          <w:kern w:val="0"/>
          <w:szCs w:val="21"/>
        </w:rPr>
        <w:t>5</w:t>
      </w:r>
      <w:r w:rsidRPr="001D5616">
        <w:rPr>
          <w:rFonts w:ascii="Arial" w:eastAsia="宋体" w:hAnsi="Arial" w:cs="Arial"/>
          <w:color w:val="000000"/>
          <w:kern w:val="0"/>
          <w:szCs w:val="21"/>
        </w:rPr>
        <w:t>年工作总结，并在依托高等学校内进行公示。</w:t>
      </w:r>
      <w:r w:rsidRPr="001D5616">
        <w:rPr>
          <w:rFonts w:ascii="Arial" w:eastAsia="宋体" w:hAnsi="Arial" w:cs="Arial"/>
          <w:color w:val="000000"/>
          <w:kern w:val="0"/>
          <w:szCs w:val="21"/>
        </w:rPr>
        <w:t>5</w:t>
      </w:r>
      <w:r w:rsidRPr="001D5616">
        <w:rPr>
          <w:rFonts w:ascii="Arial" w:eastAsia="宋体" w:hAnsi="Arial" w:cs="Arial"/>
          <w:color w:val="000000"/>
          <w:kern w:val="0"/>
          <w:szCs w:val="21"/>
        </w:rPr>
        <w:t>年工作总结中列举的所有成果必须是评估期内获得，并且各项数据应与年度考核报告的内容相符。</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第十三条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评估材料经实验室依托高等学校和主管部门审核后，按照规定程序和日期提交评估机构。评估机构应组织人员对评估材料进行审核。</w:t>
      </w:r>
      <w:r w:rsidRPr="001D5616">
        <w:rPr>
          <w:rFonts w:ascii="Arial" w:eastAsia="宋体" w:hAnsi="Arial" w:cs="Arial"/>
          <w:color w:val="000000"/>
          <w:kern w:val="0"/>
          <w:szCs w:val="21"/>
        </w:rPr>
        <w:br/>
      </w:r>
      <w:r w:rsidRPr="001D5616">
        <w:rPr>
          <w:rFonts w:ascii="Arial" w:eastAsia="宋体" w:hAnsi="Arial" w:cs="Arial"/>
          <w:color w:val="000000"/>
          <w:kern w:val="0"/>
          <w:szCs w:val="21"/>
        </w:rPr>
        <w:br/>
      </w:r>
      <w:r w:rsidRPr="001D5616">
        <w:rPr>
          <w:rFonts w:ascii="Arial" w:eastAsia="宋体" w:hAnsi="Arial" w:cs="Arial"/>
          <w:color w:val="000000"/>
          <w:kern w:val="0"/>
          <w:szCs w:val="21"/>
        </w:rPr>
        <w:t>第三章　评估程序</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第十四条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教育部于每年</w:t>
      </w:r>
      <w:r w:rsidRPr="001D5616">
        <w:rPr>
          <w:rFonts w:ascii="Arial" w:eastAsia="宋体" w:hAnsi="Arial" w:cs="Arial"/>
          <w:color w:val="000000"/>
          <w:kern w:val="0"/>
          <w:szCs w:val="21"/>
        </w:rPr>
        <w:t>7</w:t>
      </w:r>
      <w:r w:rsidRPr="001D5616">
        <w:rPr>
          <w:rFonts w:ascii="Arial" w:eastAsia="宋体" w:hAnsi="Arial" w:cs="Arial"/>
          <w:color w:val="000000"/>
          <w:kern w:val="0"/>
          <w:szCs w:val="21"/>
        </w:rPr>
        <w:t>月</w:t>
      </w:r>
      <w:r w:rsidRPr="001D5616">
        <w:rPr>
          <w:rFonts w:ascii="Arial" w:eastAsia="宋体" w:hAnsi="Arial" w:cs="Arial"/>
          <w:color w:val="000000"/>
          <w:kern w:val="0"/>
          <w:szCs w:val="21"/>
        </w:rPr>
        <w:t>1</w:t>
      </w:r>
      <w:r w:rsidRPr="001D5616">
        <w:rPr>
          <w:rFonts w:ascii="Arial" w:eastAsia="宋体" w:hAnsi="Arial" w:cs="Arial"/>
          <w:color w:val="000000"/>
          <w:kern w:val="0"/>
          <w:szCs w:val="21"/>
        </w:rPr>
        <w:t>日前确定委托承担次年评估工作的评估机构，并下达当年参评的实验室清单。</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第十五条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评估机构制定详细的评估实施方案和经费预算，报教育部批准。评估实施方</w:t>
      </w:r>
      <w:r w:rsidRPr="001D5616">
        <w:rPr>
          <w:rFonts w:ascii="Arial" w:eastAsia="宋体" w:hAnsi="Arial" w:cs="Arial"/>
          <w:color w:val="000000"/>
          <w:kern w:val="0"/>
          <w:szCs w:val="21"/>
        </w:rPr>
        <w:lastRenderedPageBreak/>
        <w:t>案包括实验室分组、材料提交、评估日程安排等。评估经费预算包括专家评审费、会场租用费、交通费、食宿费等。教育部在收到评估方案后的</w:t>
      </w:r>
      <w:r w:rsidRPr="001D5616">
        <w:rPr>
          <w:rFonts w:ascii="Arial" w:eastAsia="宋体" w:hAnsi="Arial" w:cs="Arial"/>
          <w:color w:val="000000"/>
          <w:kern w:val="0"/>
          <w:szCs w:val="21"/>
        </w:rPr>
        <w:t>15</w:t>
      </w:r>
      <w:r w:rsidRPr="001D5616">
        <w:rPr>
          <w:rFonts w:ascii="Arial" w:eastAsia="宋体" w:hAnsi="Arial" w:cs="Arial"/>
          <w:color w:val="000000"/>
          <w:kern w:val="0"/>
          <w:szCs w:val="21"/>
        </w:rPr>
        <w:t>个工作日内批复。</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第十六条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评估机构发布评估通知，按初评、现场考察和综合评议三个阶段分别组织专家评估，于下半年完成评估工作。</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第十七条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参评实验室的依托高等学校负责审核评估材料并签署意见，在规定时间期限内，向评估机构正式提交。</w:t>
      </w:r>
      <w:r w:rsidRPr="001D5616">
        <w:rPr>
          <w:rFonts w:ascii="Arial" w:eastAsia="宋体" w:hAnsi="Arial" w:cs="Arial"/>
          <w:color w:val="000000"/>
          <w:kern w:val="0"/>
          <w:szCs w:val="21"/>
        </w:rPr>
        <w:br/>
      </w:r>
      <w:r w:rsidRPr="001D5616">
        <w:rPr>
          <w:rFonts w:ascii="Arial" w:eastAsia="宋体" w:hAnsi="Arial" w:cs="Arial"/>
          <w:color w:val="000000"/>
          <w:kern w:val="0"/>
          <w:szCs w:val="21"/>
        </w:rPr>
        <w:br/>
      </w:r>
      <w:r w:rsidRPr="001D5616">
        <w:rPr>
          <w:rFonts w:ascii="Arial" w:eastAsia="宋体" w:hAnsi="Arial" w:cs="Arial"/>
          <w:color w:val="000000"/>
          <w:kern w:val="0"/>
          <w:szCs w:val="21"/>
        </w:rPr>
        <w:t>第四章　初　评</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第十八条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初评采取专家集中开会听取工作报告的形式对所有参评实验室进行评议。按照学科领域相近的原则，分组进行。</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第十九条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评估机构在会前组织召开初评预备会，向初评专家说明评估规则和指标体系，明确评估任务和要求。</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第二十条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各参评实验室主任到会做工作报告，并对专家提问进行答辩。报告时间</w:t>
      </w:r>
      <w:r w:rsidRPr="001D5616">
        <w:rPr>
          <w:rFonts w:ascii="Arial" w:eastAsia="宋体" w:hAnsi="Arial" w:cs="Arial"/>
          <w:color w:val="000000"/>
          <w:kern w:val="0"/>
          <w:szCs w:val="21"/>
        </w:rPr>
        <w:t>30</w:t>
      </w:r>
      <w:r w:rsidRPr="001D5616">
        <w:rPr>
          <w:rFonts w:ascii="Arial" w:eastAsia="宋体" w:hAnsi="Arial" w:cs="Arial"/>
          <w:color w:val="000000"/>
          <w:kern w:val="0"/>
          <w:szCs w:val="21"/>
        </w:rPr>
        <w:t>分钟，答辩</w:t>
      </w:r>
      <w:r w:rsidRPr="001D5616">
        <w:rPr>
          <w:rFonts w:ascii="Arial" w:eastAsia="宋体" w:hAnsi="Arial" w:cs="Arial"/>
          <w:color w:val="000000"/>
          <w:kern w:val="0"/>
          <w:szCs w:val="21"/>
        </w:rPr>
        <w:t>10</w:t>
      </w:r>
      <w:r w:rsidRPr="001D5616">
        <w:rPr>
          <w:rFonts w:ascii="Arial" w:eastAsia="宋体" w:hAnsi="Arial" w:cs="Arial"/>
          <w:color w:val="000000"/>
          <w:kern w:val="0"/>
          <w:szCs w:val="21"/>
        </w:rPr>
        <w:t>分钟，其他参评实验室可以旁听。</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第二十一条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初评专家在会议期间应审阅评估材料，听取实验室主任工作报告并交流讨论后，根据评估指标体系对实验室进行记名打分。</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第二十二条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根据专家打分结果从高到低排序，排名前</w:t>
      </w:r>
      <w:r w:rsidRPr="001D5616">
        <w:rPr>
          <w:rFonts w:ascii="Arial" w:eastAsia="宋体" w:hAnsi="Arial" w:cs="Arial"/>
          <w:color w:val="000000"/>
          <w:kern w:val="0"/>
          <w:szCs w:val="21"/>
        </w:rPr>
        <w:t>20%</w:t>
      </w:r>
      <w:r w:rsidRPr="001D5616">
        <w:rPr>
          <w:rFonts w:ascii="Arial" w:eastAsia="宋体" w:hAnsi="Arial" w:cs="Arial"/>
          <w:color w:val="000000"/>
          <w:kern w:val="0"/>
          <w:szCs w:val="21"/>
        </w:rPr>
        <w:t>和后</w:t>
      </w:r>
      <w:r w:rsidRPr="001D5616">
        <w:rPr>
          <w:rFonts w:ascii="Arial" w:eastAsia="宋体" w:hAnsi="Arial" w:cs="Arial"/>
          <w:color w:val="000000"/>
          <w:kern w:val="0"/>
          <w:szCs w:val="21"/>
        </w:rPr>
        <w:t>20%</w:t>
      </w:r>
      <w:r w:rsidRPr="001D5616">
        <w:rPr>
          <w:rFonts w:ascii="Arial" w:eastAsia="宋体" w:hAnsi="Arial" w:cs="Arial"/>
          <w:color w:val="000000"/>
          <w:kern w:val="0"/>
          <w:szCs w:val="21"/>
        </w:rPr>
        <w:t>的实验室进入现场考察，同时教育部还将从其余参评实验室中抽取不少于</w:t>
      </w:r>
      <w:r w:rsidRPr="001D5616">
        <w:rPr>
          <w:rFonts w:ascii="Arial" w:eastAsia="宋体" w:hAnsi="Arial" w:cs="Arial"/>
          <w:color w:val="000000"/>
          <w:kern w:val="0"/>
          <w:szCs w:val="21"/>
        </w:rPr>
        <w:t>10%</w:t>
      </w:r>
      <w:r w:rsidRPr="001D5616">
        <w:rPr>
          <w:rFonts w:ascii="Arial" w:eastAsia="宋体" w:hAnsi="Arial" w:cs="Arial"/>
          <w:color w:val="000000"/>
          <w:kern w:val="0"/>
          <w:szCs w:val="21"/>
        </w:rPr>
        <w:t>的实验室列入现场考察名单。</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名单在教育部科技司网站上发布，但不公开具体排名。未进入现场考察名单的其他参评实验室可在名单公布后的</w:t>
      </w:r>
      <w:r w:rsidRPr="001D5616">
        <w:rPr>
          <w:rFonts w:ascii="Arial" w:eastAsia="宋体" w:hAnsi="Arial" w:cs="Arial"/>
          <w:color w:val="000000"/>
          <w:kern w:val="0"/>
          <w:szCs w:val="21"/>
        </w:rPr>
        <w:t>10</w:t>
      </w:r>
      <w:r w:rsidRPr="001D5616">
        <w:rPr>
          <w:rFonts w:ascii="Arial" w:eastAsia="宋体" w:hAnsi="Arial" w:cs="Arial"/>
          <w:color w:val="000000"/>
          <w:kern w:val="0"/>
          <w:szCs w:val="21"/>
        </w:rPr>
        <w:t>个工作日内向教育部提出现场考察申请，经批准后接受现场考察。</w:t>
      </w:r>
      <w:r w:rsidRPr="001D5616">
        <w:rPr>
          <w:rFonts w:ascii="Arial" w:eastAsia="宋体" w:hAnsi="Arial" w:cs="Arial"/>
          <w:color w:val="000000"/>
          <w:kern w:val="0"/>
          <w:szCs w:val="21"/>
        </w:rPr>
        <w:br/>
      </w:r>
      <w:r w:rsidRPr="001D5616">
        <w:rPr>
          <w:rFonts w:ascii="Arial" w:eastAsia="宋体" w:hAnsi="Arial" w:cs="Arial"/>
          <w:color w:val="000000"/>
          <w:kern w:val="0"/>
          <w:szCs w:val="21"/>
        </w:rPr>
        <w:br/>
      </w:r>
      <w:r w:rsidRPr="001D5616">
        <w:rPr>
          <w:rFonts w:ascii="Arial" w:eastAsia="宋体" w:hAnsi="Arial" w:cs="Arial"/>
          <w:color w:val="000000"/>
          <w:kern w:val="0"/>
          <w:szCs w:val="21"/>
        </w:rPr>
        <w:t>第五章　现场考察</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第二十三条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现场考察按照初评的分组进行。评估机构组织成立现场考察专家组，确定专家组长。每个现场考察专家组由</w:t>
      </w:r>
      <w:r w:rsidRPr="001D5616">
        <w:rPr>
          <w:rFonts w:ascii="Arial" w:eastAsia="宋体" w:hAnsi="Arial" w:cs="Arial"/>
          <w:color w:val="000000"/>
          <w:kern w:val="0"/>
          <w:szCs w:val="21"/>
        </w:rPr>
        <w:t>5-7</w:t>
      </w:r>
      <w:r w:rsidRPr="001D5616">
        <w:rPr>
          <w:rFonts w:ascii="Arial" w:eastAsia="宋体" w:hAnsi="Arial" w:cs="Arial"/>
          <w:color w:val="000000"/>
          <w:kern w:val="0"/>
          <w:szCs w:val="21"/>
        </w:rPr>
        <w:t>位专家组成，其中包含初评专家</w:t>
      </w:r>
      <w:r w:rsidRPr="001D5616">
        <w:rPr>
          <w:rFonts w:ascii="Arial" w:eastAsia="宋体" w:hAnsi="Arial" w:cs="Arial"/>
          <w:color w:val="000000"/>
          <w:kern w:val="0"/>
          <w:szCs w:val="21"/>
        </w:rPr>
        <w:t>2-3</w:t>
      </w:r>
      <w:r w:rsidRPr="001D5616">
        <w:rPr>
          <w:rFonts w:ascii="Arial" w:eastAsia="宋体" w:hAnsi="Arial" w:cs="Arial"/>
          <w:color w:val="000000"/>
          <w:kern w:val="0"/>
          <w:szCs w:val="21"/>
        </w:rPr>
        <w:t>名，管理专家</w:t>
      </w:r>
      <w:r w:rsidRPr="001D5616">
        <w:rPr>
          <w:rFonts w:ascii="Arial" w:eastAsia="宋体" w:hAnsi="Arial" w:cs="Arial"/>
          <w:color w:val="000000"/>
          <w:kern w:val="0"/>
          <w:szCs w:val="21"/>
        </w:rPr>
        <w:t>1-2</w:t>
      </w:r>
      <w:r w:rsidRPr="001D5616">
        <w:rPr>
          <w:rFonts w:ascii="Arial" w:eastAsia="宋体" w:hAnsi="Arial" w:cs="Arial"/>
          <w:color w:val="000000"/>
          <w:kern w:val="0"/>
          <w:szCs w:val="21"/>
        </w:rPr>
        <w:t>名。专家组名单需报教育部审核同意。</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第二十四条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评估机构安排确定各实验室现场考察时间</w:t>
      </w:r>
      <w:r w:rsidRPr="001D5616">
        <w:rPr>
          <w:rFonts w:ascii="Arial" w:eastAsia="宋体" w:hAnsi="Arial" w:cs="Arial"/>
          <w:color w:val="000000"/>
          <w:kern w:val="0"/>
          <w:szCs w:val="21"/>
        </w:rPr>
        <w:t>(</w:t>
      </w:r>
      <w:r w:rsidRPr="001D5616">
        <w:rPr>
          <w:rFonts w:ascii="Arial" w:eastAsia="宋体" w:hAnsi="Arial" w:cs="Arial"/>
          <w:color w:val="000000"/>
          <w:kern w:val="0"/>
          <w:szCs w:val="21"/>
        </w:rPr>
        <w:t>每实验室评估半天</w:t>
      </w:r>
      <w:r w:rsidRPr="001D5616">
        <w:rPr>
          <w:rFonts w:ascii="Arial" w:eastAsia="宋体" w:hAnsi="Arial" w:cs="Arial"/>
          <w:color w:val="000000"/>
          <w:kern w:val="0"/>
          <w:szCs w:val="21"/>
        </w:rPr>
        <w:t>)</w:t>
      </w:r>
      <w:r w:rsidRPr="001D5616">
        <w:rPr>
          <w:rFonts w:ascii="Arial" w:eastAsia="宋体" w:hAnsi="Arial" w:cs="Arial"/>
          <w:color w:val="000000"/>
          <w:kern w:val="0"/>
          <w:szCs w:val="21"/>
        </w:rPr>
        <w:t>和路线，于考察前</w:t>
      </w:r>
      <w:r w:rsidRPr="001D5616">
        <w:rPr>
          <w:rFonts w:ascii="Arial" w:eastAsia="宋体" w:hAnsi="Arial" w:cs="Arial"/>
          <w:color w:val="000000"/>
          <w:kern w:val="0"/>
          <w:szCs w:val="21"/>
        </w:rPr>
        <w:t>10</w:t>
      </w:r>
      <w:r w:rsidRPr="001D5616">
        <w:rPr>
          <w:rFonts w:ascii="Arial" w:eastAsia="宋体" w:hAnsi="Arial" w:cs="Arial"/>
          <w:color w:val="000000"/>
          <w:kern w:val="0"/>
          <w:szCs w:val="21"/>
        </w:rPr>
        <w:t>个工作日通知相关参评实验室，并将考察安排向有关中央部门、地方政府教育行政部门通报。</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评估机构负责制订现场考察工作手册，主要内容包括现场考察的基本程序、详细日程安排以及评估工作的有关文件和工作人员职责。</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评估机构组织召开现场考察预备会，向专家组成员明确现场考察的任务和要求。</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第二十五条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现场考察过程由专家组长主持。主要考察实验室的工作状态、创新氛围和内部运行管理；核实科研成果和经费使用情况，以及仪器设备运行管理和开放共享情况；检查依托高等学校对实验室的支持和条件保障的落实情况，以及对实验室的日常监督管理。专家组采取听取实验室主任和依托高等学校工作报告、审查证明材料、召开座谈会或进行个别访谈等方式进行考察了解。</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第二十六条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专家组审阅评估材料和证明材料，听取实验室主任和依托高等学校的工作报告，并提问质询。其中：</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实验室主任工作报告主要介绍评估期限内实验室取得的代表性成果（不超过</w:t>
      </w:r>
      <w:r w:rsidRPr="001D5616">
        <w:rPr>
          <w:rFonts w:ascii="Arial" w:eastAsia="宋体" w:hAnsi="Arial" w:cs="Arial"/>
          <w:color w:val="000000"/>
          <w:kern w:val="0"/>
          <w:szCs w:val="21"/>
        </w:rPr>
        <w:t>5</w:t>
      </w:r>
      <w:r w:rsidRPr="001D5616">
        <w:rPr>
          <w:rFonts w:ascii="Arial" w:eastAsia="宋体" w:hAnsi="Arial" w:cs="Arial"/>
          <w:color w:val="000000"/>
          <w:kern w:val="0"/>
          <w:szCs w:val="21"/>
        </w:rPr>
        <w:t>项），并对实验室的运行状况和管理机制进行全面、系统总结。报告不超过</w:t>
      </w:r>
      <w:r w:rsidRPr="001D5616">
        <w:rPr>
          <w:rFonts w:ascii="Arial" w:eastAsia="宋体" w:hAnsi="Arial" w:cs="Arial"/>
          <w:color w:val="000000"/>
          <w:kern w:val="0"/>
          <w:szCs w:val="21"/>
        </w:rPr>
        <w:t>40</w:t>
      </w:r>
      <w:r w:rsidRPr="001D5616">
        <w:rPr>
          <w:rFonts w:ascii="Arial" w:eastAsia="宋体" w:hAnsi="Arial" w:cs="Arial"/>
          <w:color w:val="000000"/>
          <w:kern w:val="0"/>
          <w:szCs w:val="21"/>
        </w:rPr>
        <w:t>分钟，答辩</w:t>
      </w:r>
      <w:r w:rsidRPr="001D5616">
        <w:rPr>
          <w:rFonts w:ascii="Arial" w:eastAsia="宋体" w:hAnsi="Arial" w:cs="Arial"/>
          <w:color w:val="000000"/>
          <w:kern w:val="0"/>
          <w:szCs w:val="21"/>
        </w:rPr>
        <w:t>20</w:t>
      </w:r>
      <w:r w:rsidRPr="001D5616">
        <w:rPr>
          <w:rFonts w:ascii="Arial" w:eastAsia="宋体" w:hAnsi="Arial" w:cs="Arial"/>
          <w:color w:val="000000"/>
          <w:kern w:val="0"/>
          <w:szCs w:val="21"/>
        </w:rPr>
        <w:t>分钟。</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由校领导或科研管理部门负责人代表依托高等学校，报告评估期限内依托高等学校对实验室的资源投入、条件保障、政策支持、日常监督管理等情况。报告不超过</w:t>
      </w:r>
      <w:r w:rsidRPr="001D5616">
        <w:rPr>
          <w:rFonts w:ascii="Arial" w:eastAsia="宋体" w:hAnsi="Arial" w:cs="Arial"/>
          <w:color w:val="000000"/>
          <w:kern w:val="0"/>
          <w:szCs w:val="21"/>
        </w:rPr>
        <w:t>20</w:t>
      </w:r>
      <w:r w:rsidRPr="001D5616">
        <w:rPr>
          <w:rFonts w:ascii="Arial" w:eastAsia="宋体" w:hAnsi="Arial" w:cs="Arial"/>
          <w:color w:val="000000"/>
          <w:kern w:val="0"/>
          <w:szCs w:val="21"/>
        </w:rPr>
        <w:t>分钟，答辩</w:t>
      </w:r>
      <w:r w:rsidRPr="001D5616">
        <w:rPr>
          <w:rFonts w:ascii="Arial" w:eastAsia="宋体" w:hAnsi="Arial" w:cs="Arial"/>
          <w:color w:val="000000"/>
          <w:kern w:val="0"/>
          <w:szCs w:val="21"/>
        </w:rPr>
        <w:lastRenderedPageBreak/>
        <w:t>10</w:t>
      </w:r>
      <w:r w:rsidRPr="001D5616">
        <w:rPr>
          <w:rFonts w:ascii="Arial" w:eastAsia="宋体" w:hAnsi="Arial" w:cs="Arial"/>
          <w:color w:val="000000"/>
          <w:kern w:val="0"/>
          <w:szCs w:val="21"/>
        </w:rPr>
        <w:t>分钟。</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第二十七条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实验室应提供以下材料备专家组查阅：基本运行经费、开放课题经费等有关经费的财务证明（包括到账和使用情况）；各类有关项目合同书、项目批准书、获奖证书；完成的各类研究成果（论文、专利等）；公共服务证明；学术交流和会议相关文（信、函）件；内部管理规章制度等。</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第二十八条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专家组经交流讨论后，以口头方式向实验室和依托高等学校简要反馈，在肯定成绩的同时，更要明确指出实验室的不足。</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第二十九条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专家组在现场考察结束后，根据评估指标体系对本组考察的实验室记名打分，并研究提出书面评估意见。评估意见应明确指出实验室存在的问题和改进建议。</w:t>
      </w:r>
      <w:r w:rsidRPr="001D5616">
        <w:rPr>
          <w:rFonts w:ascii="Arial" w:eastAsia="宋体" w:hAnsi="Arial" w:cs="Arial"/>
          <w:color w:val="000000"/>
          <w:kern w:val="0"/>
          <w:szCs w:val="21"/>
        </w:rPr>
        <w:br/>
      </w:r>
      <w:r w:rsidRPr="001D5616">
        <w:rPr>
          <w:rFonts w:ascii="Arial" w:eastAsia="宋体" w:hAnsi="Arial" w:cs="Arial"/>
          <w:color w:val="000000"/>
          <w:kern w:val="0"/>
          <w:szCs w:val="21"/>
        </w:rPr>
        <w:br/>
      </w:r>
      <w:r w:rsidRPr="001D5616">
        <w:rPr>
          <w:rFonts w:ascii="Arial" w:eastAsia="宋体" w:hAnsi="Arial" w:cs="Arial"/>
          <w:color w:val="000000"/>
          <w:kern w:val="0"/>
          <w:szCs w:val="21"/>
        </w:rPr>
        <w:t>第六章　综合评议</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第三十条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评估机构按照初评打分占</w:t>
      </w:r>
      <w:r w:rsidRPr="001D5616">
        <w:rPr>
          <w:rFonts w:ascii="Arial" w:eastAsia="宋体" w:hAnsi="Arial" w:cs="Arial"/>
          <w:color w:val="000000"/>
          <w:kern w:val="0"/>
          <w:szCs w:val="21"/>
        </w:rPr>
        <w:t>60%</w:t>
      </w:r>
      <w:r w:rsidRPr="001D5616">
        <w:rPr>
          <w:rFonts w:ascii="Arial" w:eastAsia="宋体" w:hAnsi="Arial" w:cs="Arial"/>
          <w:color w:val="000000"/>
          <w:kern w:val="0"/>
          <w:szCs w:val="21"/>
        </w:rPr>
        <w:t>，现场考察打分占</w:t>
      </w:r>
      <w:r w:rsidRPr="001D5616">
        <w:rPr>
          <w:rFonts w:ascii="Arial" w:eastAsia="宋体" w:hAnsi="Arial" w:cs="Arial"/>
          <w:color w:val="000000"/>
          <w:kern w:val="0"/>
          <w:szCs w:val="21"/>
        </w:rPr>
        <w:t>40%</w:t>
      </w:r>
      <w:r w:rsidRPr="001D5616">
        <w:rPr>
          <w:rFonts w:ascii="Arial" w:eastAsia="宋体" w:hAnsi="Arial" w:cs="Arial"/>
          <w:color w:val="000000"/>
          <w:kern w:val="0"/>
          <w:szCs w:val="21"/>
        </w:rPr>
        <w:t>的方式，计算出参加现场考察的各实验室成绩并从高到低排序，成绩靠前的实验室评估结果为优秀；成绩靠后的实验室将参加综合评议，比例不少于参评实验室总数的</w:t>
      </w:r>
      <w:r w:rsidRPr="001D5616">
        <w:rPr>
          <w:rFonts w:ascii="Arial" w:eastAsia="宋体" w:hAnsi="Arial" w:cs="Arial"/>
          <w:color w:val="000000"/>
          <w:kern w:val="0"/>
          <w:szCs w:val="21"/>
        </w:rPr>
        <w:t>20%</w:t>
      </w:r>
      <w:r w:rsidRPr="001D5616">
        <w:rPr>
          <w:rFonts w:ascii="Arial" w:eastAsia="宋体" w:hAnsi="Arial" w:cs="Arial"/>
          <w:color w:val="000000"/>
          <w:kern w:val="0"/>
          <w:szCs w:val="21"/>
        </w:rPr>
        <w:t>。参加综合评议的实验室名单在教育部科技司网站上发布并提前至少</w:t>
      </w:r>
      <w:r w:rsidRPr="001D5616">
        <w:rPr>
          <w:rFonts w:ascii="Arial" w:eastAsia="宋体" w:hAnsi="Arial" w:cs="Arial"/>
          <w:color w:val="000000"/>
          <w:kern w:val="0"/>
          <w:szCs w:val="21"/>
        </w:rPr>
        <w:t>10</w:t>
      </w:r>
      <w:r w:rsidRPr="001D5616">
        <w:rPr>
          <w:rFonts w:ascii="Arial" w:eastAsia="宋体" w:hAnsi="Arial" w:cs="Arial"/>
          <w:color w:val="000000"/>
          <w:kern w:val="0"/>
          <w:szCs w:val="21"/>
        </w:rPr>
        <w:t>个工作日通知依托高等学校。</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第三十一条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同领域的综合评议不再按相近学科分组。每个领域由</w:t>
      </w:r>
      <w:r w:rsidRPr="001D5616">
        <w:rPr>
          <w:rFonts w:ascii="Arial" w:eastAsia="宋体" w:hAnsi="Arial" w:cs="Arial"/>
          <w:color w:val="000000"/>
          <w:kern w:val="0"/>
          <w:szCs w:val="21"/>
        </w:rPr>
        <w:t>7-11</w:t>
      </w:r>
      <w:r w:rsidRPr="001D5616">
        <w:rPr>
          <w:rFonts w:ascii="Arial" w:eastAsia="宋体" w:hAnsi="Arial" w:cs="Arial"/>
          <w:color w:val="000000"/>
          <w:kern w:val="0"/>
          <w:szCs w:val="21"/>
        </w:rPr>
        <w:t>位专家组成综合评议专家组。</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第三十二条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评估机构向综合评议专家组提供参评实验室的初评成绩、现场考察成绩、现场考察意见、评估材料和评估指标体系。</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第三十三条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参加综合评议的实验室主任到会做工作报告，并对专家提问进行答辩。主要介绍实验室代表性成果和优势特色、存在的问题和不足、发展规划和设想等。报告时间</w:t>
      </w:r>
      <w:r w:rsidRPr="001D5616">
        <w:rPr>
          <w:rFonts w:ascii="Arial" w:eastAsia="宋体" w:hAnsi="Arial" w:cs="Arial"/>
          <w:color w:val="000000"/>
          <w:kern w:val="0"/>
          <w:szCs w:val="21"/>
        </w:rPr>
        <w:t>30</w:t>
      </w:r>
      <w:r w:rsidRPr="001D5616">
        <w:rPr>
          <w:rFonts w:ascii="Arial" w:eastAsia="宋体" w:hAnsi="Arial" w:cs="Arial"/>
          <w:color w:val="000000"/>
          <w:kern w:val="0"/>
          <w:szCs w:val="21"/>
        </w:rPr>
        <w:t>分钟，答辩</w:t>
      </w:r>
      <w:r w:rsidRPr="001D5616">
        <w:rPr>
          <w:rFonts w:ascii="Arial" w:eastAsia="宋体" w:hAnsi="Arial" w:cs="Arial"/>
          <w:color w:val="000000"/>
          <w:kern w:val="0"/>
          <w:szCs w:val="21"/>
        </w:rPr>
        <w:t>10</w:t>
      </w:r>
      <w:r w:rsidRPr="001D5616">
        <w:rPr>
          <w:rFonts w:ascii="Arial" w:eastAsia="宋体" w:hAnsi="Arial" w:cs="Arial"/>
          <w:color w:val="000000"/>
          <w:kern w:val="0"/>
          <w:szCs w:val="21"/>
        </w:rPr>
        <w:t>分钟。</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第三十四条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专家经评议讨论，对参加综合评议的实验室记名打分和排序，并当场公布排序结果。</w:t>
      </w:r>
      <w:r w:rsidRPr="001D5616">
        <w:rPr>
          <w:rFonts w:ascii="Arial" w:eastAsia="宋体" w:hAnsi="Arial" w:cs="Arial"/>
          <w:color w:val="000000"/>
          <w:kern w:val="0"/>
          <w:szCs w:val="21"/>
        </w:rPr>
        <w:br/>
      </w:r>
      <w:r w:rsidRPr="001D5616">
        <w:rPr>
          <w:rFonts w:ascii="Arial" w:eastAsia="宋体" w:hAnsi="Arial" w:cs="Arial"/>
          <w:color w:val="000000"/>
          <w:kern w:val="0"/>
          <w:szCs w:val="21"/>
        </w:rPr>
        <w:br/>
      </w:r>
      <w:r w:rsidRPr="001D5616">
        <w:rPr>
          <w:rFonts w:ascii="Arial" w:eastAsia="宋体" w:hAnsi="Arial" w:cs="Arial"/>
          <w:color w:val="000000"/>
          <w:kern w:val="0"/>
          <w:szCs w:val="21"/>
        </w:rPr>
        <w:t>第七章　公布结果</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第三十五条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综合评议结束后的</w:t>
      </w:r>
      <w:r w:rsidRPr="001D5616">
        <w:rPr>
          <w:rFonts w:ascii="Arial" w:eastAsia="宋体" w:hAnsi="Arial" w:cs="Arial"/>
          <w:color w:val="000000"/>
          <w:kern w:val="0"/>
          <w:szCs w:val="21"/>
        </w:rPr>
        <w:t>15</w:t>
      </w:r>
      <w:r w:rsidRPr="001D5616">
        <w:rPr>
          <w:rFonts w:ascii="Arial" w:eastAsia="宋体" w:hAnsi="Arial" w:cs="Arial"/>
          <w:color w:val="000000"/>
          <w:kern w:val="0"/>
          <w:szCs w:val="21"/>
        </w:rPr>
        <w:t>个工作日内，评估机构向教育部提交当年评估工作档案，包括：各阶段专家组人员名单、会议初评专家打分表、初评打分排序统计结果、各实验室现场考察意见、现场考察打分和排序结果、综合评议专家打分表及排序结果。</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第三十六条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评估机构应在综合评议结束后的</w:t>
      </w:r>
      <w:r w:rsidRPr="001D5616">
        <w:rPr>
          <w:rFonts w:ascii="Arial" w:eastAsia="宋体" w:hAnsi="Arial" w:cs="Arial"/>
          <w:color w:val="000000"/>
          <w:kern w:val="0"/>
          <w:szCs w:val="21"/>
        </w:rPr>
        <w:t>15</w:t>
      </w:r>
      <w:r w:rsidRPr="001D5616">
        <w:rPr>
          <w:rFonts w:ascii="Arial" w:eastAsia="宋体" w:hAnsi="Arial" w:cs="Arial"/>
          <w:color w:val="000000"/>
          <w:kern w:val="0"/>
          <w:szCs w:val="21"/>
        </w:rPr>
        <w:t>个工作日内，向教育部提交评估报告，报告应对评估过程中产生的材料进行分析，对评估工作进行系统总结，并提出意见和建议。</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第三十七条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教育部根据评估成绩和评估报告，确定并发布评估结果及处理意见。评估结果分为优秀、良好、整改、未通过评估四类。其中评估结果为优秀的实验室不超过</w:t>
      </w:r>
      <w:r w:rsidRPr="001D5616">
        <w:rPr>
          <w:rFonts w:ascii="Arial" w:eastAsia="宋体" w:hAnsi="Arial" w:cs="Arial"/>
          <w:color w:val="000000"/>
          <w:kern w:val="0"/>
          <w:szCs w:val="21"/>
        </w:rPr>
        <w:t>15%</w:t>
      </w:r>
      <w:r w:rsidRPr="001D5616">
        <w:rPr>
          <w:rFonts w:ascii="Arial" w:eastAsia="宋体" w:hAnsi="Arial" w:cs="Arial"/>
          <w:color w:val="000000"/>
          <w:kern w:val="0"/>
          <w:szCs w:val="21"/>
        </w:rPr>
        <w:t>，评估结果为整改和未通过评估的实验室不少于</w:t>
      </w:r>
      <w:r w:rsidRPr="001D5616">
        <w:rPr>
          <w:rFonts w:ascii="Arial" w:eastAsia="宋体" w:hAnsi="Arial" w:cs="Arial"/>
          <w:color w:val="000000"/>
          <w:kern w:val="0"/>
          <w:szCs w:val="21"/>
        </w:rPr>
        <w:t>10%</w:t>
      </w:r>
      <w:r w:rsidRPr="001D5616">
        <w:rPr>
          <w:rFonts w:ascii="Arial" w:eastAsia="宋体" w:hAnsi="Arial" w:cs="Arial"/>
          <w:color w:val="000000"/>
          <w:kern w:val="0"/>
          <w:szCs w:val="21"/>
        </w:rPr>
        <w:t>，其他实验室评估结果为良好。</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第三十八条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评估结果为整改的实验室整改期为</w:t>
      </w:r>
      <w:r w:rsidRPr="001D5616">
        <w:rPr>
          <w:rFonts w:ascii="Arial" w:eastAsia="宋体" w:hAnsi="Arial" w:cs="Arial"/>
          <w:color w:val="000000"/>
          <w:kern w:val="0"/>
          <w:szCs w:val="21"/>
        </w:rPr>
        <w:t>2</w:t>
      </w:r>
      <w:r w:rsidRPr="001D5616">
        <w:rPr>
          <w:rFonts w:ascii="Arial" w:eastAsia="宋体" w:hAnsi="Arial" w:cs="Arial"/>
          <w:color w:val="000000"/>
          <w:kern w:val="0"/>
          <w:szCs w:val="21"/>
        </w:rPr>
        <w:t>年，期满后由教育部组织专家现场检查整改结果，检查通过后评估结果定为良好，检查未通过的实验室不再列入教育部重点实验室序列。</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第三十九条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未通过评估的实验室、不参加评估或中途退出评估的实验室，不再列入教育部重点实验室序列，可以再次参加立项申请。</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第四十条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评估结果在教育部科技司网站公示一周。公示期内接受实名提出异议。最后以书面形式向参评实验室和依托高等学校反馈评估结果。</w:t>
      </w:r>
      <w:r w:rsidRPr="001D5616">
        <w:rPr>
          <w:rFonts w:ascii="Arial" w:eastAsia="宋体" w:hAnsi="Arial" w:cs="Arial"/>
          <w:color w:val="000000"/>
          <w:kern w:val="0"/>
          <w:szCs w:val="21"/>
        </w:rPr>
        <w:br/>
      </w:r>
      <w:r w:rsidRPr="001D5616">
        <w:rPr>
          <w:rFonts w:ascii="Arial" w:eastAsia="宋体" w:hAnsi="Arial" w:cs="Arial"/>
          <w:color w:val="000000"/>
          <w:kern w:val="0"/>
          <w:szCs w:val="21"/>
        </w:rPr>
        <w:br/>
      </w:r>
      <w:r w:rsidRPr="001D5616">
        <w:rPr>
          <w:rFonts w:ascii="Arial" w:eastAsia="宋体" w:hAnsi="Arial" w:cs="Arial"/>
          <w:color w:val="000000"/>
          <w:kern w:val="0"/>
          <w:szCs w:val="21"/>
        </w:rPr>
        <w:t>第八章　附　则</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第四十一条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实验室评估费用由教育部承担。</w:t>
      </w:r>
      <w:r w:rsidRPr="001D5616">
        <w:rPr>
          <w:rFonts w:ascii="Arial" w:eastAsia="宋体" w:hAnsi="Arial" w:cs="Arial"/>
          <w:color w:val="000000"/>
          <w:kern w:val="0"/>
          <w:szCs w:val="21"/>
        </w:rPr>
        <w:br/>
      </w:r>
      <w:r w:rsidRPr="001D5616">
        <w:rPr>
          <w:rFonts w:ascii="Arial" w:eastAsia="宋体" w:hAnsi="Arial" w:cs="Arial"/>
          <w:color w:val="000000"/>
          <w:kern w:val="0"/>
          <w:szCs w:val="21"/>
        </w:rPr>
        <w:lastRenderedPageBreak/>
        <w:t xml:space="preserve">　　第四十二条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评估机构、工作人员和评估专家应严格遵守国家法律法规和相关保密规定，科学公正、严肃认真地履行职责，不得对外发布相关过程信息，不得收取评估对象的评审费用、礼品、礼金。</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第四十三条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评估实行回避制度，与实验室有直接利害关系者，包括实验室正、副主任、固定人员，学术委员会成员，实验室主管部门及其他直接相关者不得作为评估专家。实验室可提出希望回避的专家名单并说明理由，与评估材料一并上报。</w:t>
      </w:r>
      <w:r w:rsidRPr="001D5616">
        <w:rPr>
          <w:rFonts w:ascii="Arial" w:eastAsia="宋体" w:hAnsi="Arial" w:cs="Arial"/>
          <w:color w:val="000000"/>
          <w:kern w:val="0"/>
          <w:szCs w:val="21"/>
        </w:rPr>
        <w:br/>
      </w:r>
      <w:r w:rsidRPr="001D5616">
        <w:rPr>
          <w:rFonts w:ascii="Arial" w:eastAsia="宋体" w:hAnsi="Arial" w:cs="Arial"/>
          <w:color w:val="000000"/>
          <w:kern w:val="0"/>
          <w:szCs w:val="21"/>
        </w:rPr>
        <w:t xml:space="preserve">　　第四十四条</w:t>
      </w:r>
      <w:r w:rsidRPr="001D5616">
        <w:rPr>
          <w:rFonts w:ascii="Arial" w:eastAsia="宋体" w:hAnsi="Arial" w:cs="Arial"/>
          <w:color w:val="000000"/>
          <w:kern w:val="0"/>
          <w:szCs w:val="21"/>
        </w:rPr>
        <w:t xml:space="preserve"> </w:t>
      </w:r>
      <w:r w:rsidRPr="001D5616">
        <w:rPr>
          <w:rFonts w:ascii="Arial" w:eastAsia="宋体" w:hAnsi="Arial" w:cs="Arial"/>
          <w:color w:val="000000"/>
          <w:kern w:val="0"/>
          <w:szCs w:val="21"/>
        </w:rPr>
        <w:t>本规则自发布之日起施行。《教育部重点实验室评估规则》（教技〔</w:t>
      </w:r>
      <w:r w:rsidRPr="001D5616">
        <w:rPr>
          <w:rFonts w:ascii="Arial" w:eastAsia="宋体" w:hAnsi="Arial" w:cs="Arial"/>
          <w:color w:val="000000"/>
          <w:kern w:val="0"/>
          <w:szCs w:val="21"/>
        </w:rPr>
        <w:t>2007</w:t>
      </w:r>
      <w:r w:rsidRPr="001D5616">
        <w:rPr>
          <w:rFonts w:ascii="Arial" w:eastAsia="宋体" w:hAnsi="Arial" w:cs="Arial"/>
          <w:color w:val="000000"/>
          <w:kern w:val="0"/>
          <w:szCs w:val="21"/>
        </w:rPr>
        <w:t>〕</w:t>
      </w:r>
      <w:r w:rsidRPr="001D5616">
        <w:rPr>
          <w:rFonts w:ascii="Arial" w:eastAsia="宋体" w:hAnsi="Arial" w:cs="Arial"/>
          <w:color w:val="000000"/>
          <w:kern w:val="0"/>
          <w:szCs w:val="21"/>
        </w:rPr>
        <w:t>3</w:t>
      </w:r>
      <w:r w:rsidRPr="001D5616">
        <w:rPr>
          <w:rFonts w:ascii="Arial" w:eastAsia="宋体" w:hAnsi="Arial" w:cs="Arial"/>
          <w:color w:val="000000"/>
          <w:kern w:val="0"/>
          <w:szCs w:val="21"/>
        </w:rPr>
        <w:t>号）同时废止。</w:t>
      </w:r>
    </w:p>
    <w:sectPr w:rsidR="008903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49E" w:rsidRDefault="00CA049E" w:rsidP="001E6F65">
      <w:r>
        <w:separator/>
      </w:r>
    </w:p>
  </w:endnote>
  <w:endnote w:type="continuationSeparator" w:id="0">
    <w:p w:rsidR="00CA049E" w:rsidRDefault="00CA049E" w:rsidP="001E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49E" w:rsidRDefault="00CA049E" w:rsidP="001E6F65">
      <w:r>
        <w:separator/>
      </w:r>
    </w:p>
  </w:footnote>
  <w:footnote w:type="continuationSeparator" w:id="0">
    <w:p w:rsidR="00CA049E" w:rsidRDefault="00CA049E" w:rsidP="001E6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D6"/>
    <w:rsid w:val="00000478"/>
    <w:rsid w:val="00004A96"/>
    <w:rsid w:val="00006C65"/>
    <w:rsid w:val="00011231"/>
    <w:rsid w:val="0002534D"/>
    <w:rsid w:val="00025BCA"/>
    <w:rsid w:val="00034973"/>
    <w:rsid w:val="00035CA7"/>
    <w:rsid w:val="00036054"/>
    <w:rsid w:val="000567BE"/>
    <w:rsid w:val="0008242D"/>
    <w:rsid w:val="000913F2"/>
    <w:rsid w:val="00094CEE"/>
    <w:rsid w:val="000A3713"/>
    <w:rsid w:val="000A46DC"/>
    <w:rsid w:val="000A625E"/>
    <w:rsid w:val="000D521A"/>
    <w:rsid w:val="000F0F6A"/>
    <w:rsid w:val="00105D26"/>
    <w:rsid w:val="00156A63"/>
    <w:rsid w:val="00174ABB"/>
    <w:rsid w:val="00180459"/>
    <w:rsid w:val="00183FD2"/>
    <w:rsid w:val="00190A47"/>
    <w:rsid w:val="00193D97"/>
    <w:rsid w:val="00197752"/>
    <w:rsid w:val="001A7425"/>
    <w:rsid w:val="001A7918"/>
    <w:rsid w:val="001B042E"/>
    <w:rsid w:val="001B7A4A"/>
    <w:rsid w:val="001D5616"/>
    <w:rsid w:val="001E6F65"/>
    <w:rsid w:val="001F3B24"/>
    <w:rsid w:val="00205063"/>
    <w:rsid w:val="00214C28"/>
    <w:rsid w:val="002151B4"/>
    <w:rsid w:val="00270F5A"/>
    <w:rsid w:val="00271030"/>
    <w:rsid w:val="00280BDB"/>
    <w:rsid w:val="002A0848"/>
    <w:rsid w:val="002A664B"/>
    <w:rsid w:val="002B4F04"/>
    <w:rsid w:val="002B6C55"/>
    <w:rsid w:val="002C280A"/>
    <w:rsid w:val="002D6EBB"/>
    <w:rsid w:val="002F01F6"/>
    <w:rsid w:val="002F6A7D"/>
    <w:rsid w:val="00321E43"/>
    <w:rsid w:val="0033713C"/>
    <w:rsid w:val="0034080B"/>
    <w:rsid w:val="0034085F"/>
    <w:rsid w:val="00352693"/>
    <w:rsid w:val="0035317A"/>
    <w:rsid w:val="00360016"/>
    <w:rsid w:val="00362FF7"/>
    <w:rsid w:val="0036523A"/>
    <w:rsid w:val="003716B6"/>
    <w:rsid w:val="00385320"/>
    <w:rsid w:val="003A06DA"/>
    <w:rsid w:val="003A5FAE"/>
    <w:rsid w:val="003B256D"/>
    <w:rsid w:val="003C30AC"/>
    <w:rsid w:val="003C399C"/>
    <w:rsid w:val="00401343"/>
    <w:rsid w:val="00402EFE"/>
    <w:rsid w:val="00414229"/>
    <w:rsid w:val="00421DCB"/>
    <w:rsid w:val="00442212"/>
    <w:rsid w:val="0045193B"/>
    <w:rsid w:val="00470107"/>
    <w:rsid w:val="0047170E"/>
    <w:rsid w:val="004800F0"/>
    <w:rsid w:val="0049716E"/>
    <w:rsid w:val="00497725"/>
    <w:rsid w:val="004B27C2"/>
    <w:rsid w:val="004B31C9"/>
    <w:rsid w:val="004C0BD9"/>
    <w:rsid w:val="004C2103"/>
    <w:rsid w:val="004C3E55"/>
    <w:rsid w:val="004E5786"/>
    <w:rsid w:val="004F6EAA"/>
    <w:rsid w:val="00517C7F"/>
    <w:rsid w:val="0053092E"/>
    <w:rsid w:val="00531DF7"/>
    <w:rsid w:val="0054004D"/>
    <w:rsid w:val="00551A5D"/>
    <w:rsid w:val="005541C6"/>
    <w:rsid w:val="00555EFD"/>
    <w:rsid w:val="00570E58"/>
    <w:rsid w:val="00585440"/>
    <w:rsid w:val="00585AE9"/>
    <w:rsid w:val="005936A6"/>
    <w:rsid w:val="005A2032"/>
    <w:rsid w:val="005C64EA"/>
    <w:rsid w:val="005E6BFE"/>
    <w:rsid w:val="0060258A"/>
    <w:rsid w:val="00612F92"/>
    <w:rsid w:val="0062199B"/>
    <w:rsid w:val="00633E16"/>
    <w:rsid w:val="00652B18"/>
    <w:rsid w:val="006744A0"/>
    <w:rsid w:val="00681E05"/>
    <w:rsid w:val="006A6CE7"/>
    <w:rsid w:val="006C06F5"/>
    <w:rsid w:val="006C67AF"/>
    <w:rsid w:val="006E4E29"/>
    <w:rsid w:val="0072177E"/>
    <w:rsid w:val="00727474"/>
    <w:rsid w:val="007350F9"/>
    <w:rsid w:val="00775EEE"/>
    <w:rsid w:val="007A1C5D"/>
    <w:rsid w:val="007A7DBD"/>
    <w:rsid w:val="007C0DFC"/>
    <w:rsid w:val="007C0EA4"/>
    <w:rsid w:val="007C5FA3"/>
    <w:rsid w:val="007D69B3"/>
    <w:rsid w:val="007E6FF6"/>
    <w:rsid w:val="007F78B2"/>
    <w:rsid w:val="00817806"/>
    <w:rsid w:val="008372CB"/>
    <w:rsid w:val="008401D7"/>
    <w:rsid w:val="00842165"/>
    <w:rsid w:val="00850A31"/>
    <w:rsid w:val="00854BE3"/>
    <w:rsid w:val="0085667D"/>
    <w:rsid w:val="00880DC4"/>
    <w:rsid w:val="00883104"/>
    <w:rsid w:val="0089034A"/>
    <w:rsid w:val="008950F8"/>
    <w:rsid w:val="008B0A82"/>
    <w:rsid w:val="008B4F28"/>
    <w:rsid w:val="008C64B0"/>
    <w:rsid w:val="008C75E1"/>
    <w:rsid w:val="008D0D71"/>
    <w:rsid w:val="008E2475"/>
    <w:rsid w:val="0091108B"/>
    <w:rsid w:val="00930788"/>
    <w:rsid w:val="009335A3"/>
    <w:rsid w:val="00935398"/>
    <w:rsid w:val="00942AA0"/>
    <w:rsid w:val="00967F54"/>
    <w:rsid w:val="00982640"/>
    <w:rsid w:val="00984B30"/>
    <w:rsid w:val="009961D5"/>
    <w:rsid w:val="0099749D"/>
    <w:rsid w:val="009A4C61"/>
    <w:rsid w:val="009B4CCF"/>
    <w:rsid w:val="009E2E46"/>
    <w:rsid w:val="00A25754"/>
    <w:rsid w:val="00A32705"/>
    <w:rsid w:val="00A40046"/>
    <w:rsid w:val="00A5282E"/>
    <w:rsid w:val="00A65B27"/>
    <w:rsid w:val="00AA6602"/>
    <w:rsid w:val="00AB6BE1"/>
    <w:rsid w:val="00AC6166"/>
    <w:rsid w:val="00AD6C9F"/>
    <w:rsid w:val="00AE0056"/>
    <w:rsid w:val="00B06497"/>
    <w:rsid w:val="00B24D86"/>
    <w:rsid w:val="00B52729"/>
    <w:rsid w:val="00B67316"/>
    <w:rsid w:val="00B916B7"/>
    <w:rsid w:val="00B96E08"/>
    <w:rsid w:val="00BA0394"/>
    <w:rsid w:val="00BE29D7"/>
    <w:rsid w:val="00BE4787"/>
    <w:rsid w:val="00BF3827"/>
    <w:rsid w:val="00C017C4"/>
    <w:rsid w:val="00C01868"/>
    <w:rsid w:val="00C024A2"/>
    <w:rsid w:val="00C4163E"/>
    <w:rsid w:val="00C508F8"/>
    <w:rsid w:val="00C711F6"/>
    <w:rsid w:val="00C75602"/>
    <w:rsid w:val="00C84E57"/>
    <w:rsid w:val="00C84E61"/>
    <w:rsid w:val="00C86553"/>
    <w:rsid w:val="00C90FDB"/>
    <w:rsid w:val="00C94A37"/>
    <w:rsid w:val="00CA049E"/>
    <w:rsid w:val="00CA19DD"/>
    <w:rsid w:val="00CC0F5D"/>
    <w:rsid w:val="00CC471E"/>
    <w:rsid w:val="00CF4B89"/>
    <w:rsid w:val="00D20B29"/>
    <w:rsid w:val="00D22E8F"/>
    <w:rsid w:val="00D32D13"/>
    <w:rsid w:val="00D54378"/>
    <w:rsid w:val="00D7679B"/>
    <w:rsid w:val="00D94A5C"/>
    <w:rsid w:val="00DA0969"/>
    <w:rsid w:val="00DA3A63"/>
    <w:rsid w:val="00DB0782"/>
    <w:rsid w:val="00DB33E1"/>
    <w:rsid w:val="00DC059B"/>
    <w:rsid w:val="00DC3F80"/>
    <w:rsid w:val="00DE67CA"/>
    <w:rsid w:val="00DF3BE0"/>
    <w:rsid w:val="00DF3BE2"/>
    <w:rsid w:val="00DF52A4"/>
    <w:rsid w:val="00DF69B0"/>
    <w:rsid w:val="00E1014C"/>
    <w:rsid w:val="00E25E3E"/>
    <w:rsid w:val="00E27E2C"/>
    <w:rsid w:val="00E33414"/>
    <w:rsid w:val="00E351B2"/>
    <w:rsid w:val="00E47892"/>
    <w:rsid w:val="00E563E4"/>
    <w:rsid w:val="00E60B85"/>
    <w:rsid w:val="00E62121"/>
    <w:rsid w:val="00E716F3"/>
    <w:rsid w:val="00E719FF"/>
    <w:rsid w:val="00E72645"/>
    <w:rsid w:val="00E82361"/>
    <w:rsid w:val="00E85B52"/>
    <w:rsid w:val="00E873EC"/>
    <w:rsid w:val="00E93901"/>
    <w:rsid w:val="00EA1429"/>
    <w:rsid w:val="00EA5831"/>
    <w:rsid w:val="00EA697C"/>
    <w:rsid w:val="00EB778C"/>
    <w:rsid w:val="00EF1439"/>
    <w:rsid w:val="00F028CC"/>
    <w:rsid w:val="00F04C95"/>
    <w:rsid w:val="00F04CA4"/>
    <w:rsid w:val="00F16FD6"/>
    <w:rsid w:val="00F31BC3"/>
    <w:rsid w:val="00F36B3B"/>
    <w:rsid w:val="00F44469"/>
    <w:rsid w:val="00F45BD7"/>
    <w:rsid w:val="00F607D1"/>
    <w:rsid w:val="00FA329E"/>
    <w:rsid w:val="00FB50CB"/>
    <w:rsid w:val="00FC62EC"/>
    <w:rsid w:val="00FD6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D5616"/>
    <w:pPr>
      <w:widowControl/>
      <w:jc w:val="left"/>
      <w:outlineLvl w:val="0"/>
    </w:pPr>
    <w:rPr>
      <w:rFonts w:ascii="黑体" w:eastAsia="黑体" w:hAnsi="黑体" w:cs="宋体"/>
      <w:color w:val="006699"/>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6F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6F65"/>
    <w:rPr>
      <w:sz w:val="18"/>
      <w:szCs w:val="18"/>
    </w:rPr>
  </w:style>
  <w:style w:type="paragraph" w:styleId="a4">
    <w:name w:val="footer"/>
    <w:basedOn w:val="a"/>
    <w:link w:val="Char0"/>
    <w:uiPriority w:val="99"/>
    <w:unhideWhenUsed/>
    <w:rsid w:val="001E6F65"/>
    <w:pPr>
      <w:tabs>
        <w:tab w:val="center" w:pos="4153"/>
        <w:tab w:val="right" w:pos="8306"/>
      </w:tabs>
      <w:snapToGrid w:val="0"/>
      <w:jc w:val="left"/>
    </w:pPr>
    <w:rPr>
      <w:sz w:val="18"/>
      <w:szCs w:val="18"/>
    </w:rPr>
  </w:style>
  <w:style w:type="character" w:customStyle="1" w:styleId="Char0">
    <w:name w:val="页脚 Char"/>
    <w:basedOn w:val="a0"/>
    <w:link w:val="a4"/>
    <w:uiPriority w:val="99"/>
    <w:rsid w:val="001E6F65"/>
    <w:rPr>
      <w:sz w:val="18"/>
      <w:szCs w:val="18"/>
    </w:rPr>
  </w:style>
  <w:style w:type="character" w:customStyle="1" w:styleId="1Char">
    <w:name w:val="标题 1 Char"/>
    <w:basedOn w:val="a0"/>
    <w:link w:val="1"/>
    <w:uiPriority w:val="9"/>
    <w:rsid w:val="001D5616"/>
    <w:rPr>
      <w:rFonts w:ascii="黑体" w:eastAsia="黑体" w:hAnsi="黑体" w:cs="宋体"/>
      <w:color w:val="006699"/>
      <w:kern w:val="36"/>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D5616"/>
    <w:pPr>
      <w:widowControl/>
      <w:jc w:val="left"/>
      <w:outlineLvl w:val="0"/>
    </w:pPr>
    <w:rPr>
      <w:rFonts w:ascii="黑体" w:eastAsia="黑体" w:hAnsi="黑体" w:cs="宋体"/>
      <w:color w:val="006699"/>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6F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6F65"/>
    <w:rPr>
      <w:sz w:val="18"/>
      <w:szCs w:val="18"/>
    </w:rPr>
  </w:style>
  <w:style w:type="paragraph" w:styleId="a4">
    <w:name w:val="footer"/>
    <w:basedOn w:val="a"/>
    <w:link w:val="Char0"/>
    <w:uiPriority w:val="99"/>
    <w:unhideWhenUsed/>
    <w:rsid w:val="001E6F65"/>
    <w:pPr>
      <w:tabs>
        <w:tab w:val="center" w:pos="4153"/>
        <w:tab w:val="right" w:pos="8306"/>
      </w:tabs>
      <w:snapToGrid w:val="0"/>
      <w:jc w:val="left"/>
    </w:pPr>
    <w:rPr>
      <w:sz w:val="18"/>
      <w:szCs w:val="18"/>
    </w:rPr>
  </w:style>
  <w:style w:type="character" w:customStyle="1" w:styleId="Char0">
    <w:name w:val="页脚 Char"/>
    <w:basedOn w:val="a0"/>
    <w:link w:val="a4"/>
    <w:uiPriority w:val="99"/>
    <w:rsid w:val="001E6F65"/>
    <w:rPr>
      <w:sz w:val="18"/>
      <w:szCs w:val="18"/>
    </w:rPr>
  </w:style>
  <w:style w:type="character" w:customStyle="1" w:styleId="1Char">
    <w:name w:val="标题 1 Char"/>
    <w:basedOn w:val="a0"/>
    <w:link w:val="1"/>
    <w:uiPriority w:val="9"/>
    <w:rsid w:val="001D5616"/>
    <w:rPr>
      <w:rFonts w:ascii="黑体" w:eastAsia="黑体" w:hAnsi="黑体" w:cs="宋体"/>
      <w:color w:val="006699"/>
      <w:kern w:val="36"/>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19480">
      <w:bodyDiv w:val="1"/>
      <w:marLeft w:val="0"/>
      <w:marRight w:val="0"/>
      <w:marTop w:val="0"/>
      <w:marBottom w:val="0"/>
      <w:divBdr>
        <w:top w:val="none" w:sz="0" w:space="0" w:color="auto"/>
        <w:left w:val="none" w:sz="0" w:space="0" w:color="auto"/>
        <w:bottom w:val="none" w:sz="0" w:space="0" w:color="auto"/>
        <w:right w:val="none" w:sz="0" w:space="0" w:color="auto"/>
      </w:divBdr>
      <w:divsChild>
        <w:div w:id="1689256044">
          <w:marLeft w:val="0"/>
          <w:marRight w:val="0"/>
          <w:marTop w:val="0"/>
          <w:marBottom w:val="0"/>
          <w:divBdr>
            <w:top w:val="none" w:sz="0" w:space="0" w:color="auto"/>
            <w:left w:val="none" w:sz="0" w:space="0" w:color="auto"/>
            <w:bottom w:val="none" w:sz="0" w:space="0" w:color="auto"/>
            <w:right w:val="none" w:sz="0" w:space="0" w:color="auto"/>
          </w:divBdr>
          <w:divsChild>
            <w:div w:id="2037925258">
              <w:marLeft w:val="0"/>
              <w:marRight w:val="0"/>
              <w:marTop w:val="0"/>
              <w:marBottom w:val="0"/>
              <w:divBdr>
                <w:top w:val="none" w:sz="0" w:space="0" w:color="auto"/>
                <w:left w:val="none" w:sz="0" w:space="0" w:color="auto"/>
                <w:bottom w:val="none" w:sz="0" w:space="0" w:color="auto"/>
                <w:right w:val="none" w:sz="0" w:space="0" w:color="auto"/>
              </w:divBdr>
              <w:divsChild>
                <w:div w:id="1506169541">
                  <w:marLeft w:val="0"/>
                  <w:marRight w:val="0"/>
                  <w:marTop w:val="0"/>
                  <w:marBottom w:val="0"/>
                  <w:divBdr>
                    <w:top w:val="none" w:sz="0" w:space="0" w:color="auto"/>
                    <w:left w:val="none" w:sz="0" w:space="0" w:color="auto"/>
                    <w:bottom w:val="none" w:sz="0" w:space="0" w:color="auto"/>
                    <w:right w:val="none" w:sz="0" w:space="0" w:color="auto"/>
                  </w:divBdr>
                  <w:divsChild>
                    <w:div w:id="56741969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1304</Words>
  <Characters>7438</Characters>
  <Application>Microsoft Office Word</Application>
  <DocSecurity>0</DocSecurity>
  <Lines>61</Lines>
  <Paragraphs>17</Paragraphs>
  <ScaleCrop>false</ScaleCrop>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刘昕</dc:creator>
  <cp:keywords/>
  <dc:description/>
  <cp:lastModifiedBy>刘昕</cp:lastModifiedBy>
  <cp:revision>3</cp:revision>
  <dcterms:created xsi:type="dcterms:W3CDTF">2017-04-13T08:44:00Z</dcterms:created>
  <dcterms:modified xsi:type="dcterms:W3CDTF">2017-04-13T08:48:00Z</dcterms:modified>
</cp:coreProperties>
</file>